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86F" w:rsidRPr="003068FC" w:rsidRDefault="0044586F">
      <w:pPr>
        <w:keepNext/>
        <w:keepLines/>
        <w:jc w:val="center"/>
        <w:rPr>
          <w:b/>
          <w:sz w:val="22"/>
          <w:szCs w:val="22"/>
        </w:rPr>
      </w:pPr>
      <w:r w:rsidRPr="003068FC">
        <w:rPr>
          <w:b/>
          <w:sz w:val="22"/>
          <w:szCs w:val="22"/>
        </w:rPr>
        <w:t>New York State Allocation Formula for the WI</w:t>
      </w:r>
      <w:r w:rsidR="0005743F">
        <w:rPr>
          <w:b/>
          <w:sz w:val="22"/>
          <w:szCs w:val="22"/>
        </w:rPr>
        <w:t>O</w:t>
      </w:r>
      <w:r w:rsidRPr="003068FC">
        <w:rPr>
          <w:b/>
          <w:sz w:val="22"/>
          <w:szCs w:val="22"/>
        </w:rPr>
        <w:t>A Adult and Youth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98"/>
        <w:gridCol w:w="1980"/>
        <w:gridCol w:w="4698"/>
      </w:tblGrid>
      <w:tr w:rsidR="0044586F" w:rsidRPr="003068FC">
        <w:trPr>
          <w:cantSplit/>
        </w:trPr>
        <w:tc>
          <w:tcPr>
            <w:tcW w:w="2898" w:type="dxa"/>
            <w:vAlign w:val="bottom"/>
          </w:tcPr>
          <w:p w:rsidR="0044586F" w:rsidRPr="003068FC" w:rsidRDefault="0044586F">
            <w:pPr>
              <w:keepNext/>
              <w:keepLines/>
              <w:rPr>
                <w:b/>
                <w:sz w:val="22"/>
                <w:szCs w:val="22"/>
              </w:rPr>
            </w:pPr>
            <w:r w:rsidRPr="003068FC">
              <w:rPr>
                <w:b/>
                <w:sz w:val="22"/>
                <w:szCs w:val="22"/>
              </w:rPr>
              <w:t>Allocation Factor</w:t>
            </w:r>
          </w:p>
        </w:tc>
        <w:tc>
          <w:tcPr>
            <w:tcW w:w="1980" w:type="dxa"/>
            <w:tcBorders>
              <w:bottom w:val="nil"/>
            </w:tcBorders>
            <w:vAlign w:val="center"/>
          </w:tcPr>
          <w:p w:rsidR="0044586F" w:rsidRPr="003068FC" w:rsidRDefault="0044586F">
            <w:pPr>
              <w:keepNext/>
              <w:keepLines/>
              <w:jc w:val="center"/>
              <w:rPr>
                <w:b/>
                <w:sz w:val="22"/>
                <w:szCs w:val="22"/>
              </w:rPr>
            </w:pPr>
            <w:r w:rsidRPr="003068FC">
              <w:rPr>
                <w:b/>
                <w:sz w:val="22"/>
                <w:szCs w:val="22"/>
              </w:rPr>
              <w:t>Weight Assigned in Formula</w:t>
            </w:r>
          </w:p>
        </w:tc>
        <w:tc>
          <w:tcPr>
            <w:tcW w:w="4698" w:type="dxa"/>
            <w:vAlign w:val="bottom"/>
          </w:tcPr>
          <w:p w:rsidR="0044586F" w:rsidRPr="003068FC" w:rsidRDefault="0044586F">
            <w:pPr>
              <w:keepNext/>
              <w:keepLines/>
              <w:rPr>
                <w:b/>
                <w:sz w:val="22"/>
                <w:szCs w:val="22"/>
              </w:rPr>
            </w:pPr>
            <w:r w:rsidRPr="003068FC">
              <w:rPr>
                <w:b/>
                <w:sz w:val="22"/>
                <w:szCs w:val="22"/>
              </w:rPr>
              <w:t>Data Sources</w:t>
            </w:r>
          </w:p>
        </w:tc>
      </w:tr>
      <w:tr w:rsidR="0044586F" w:rsidRPr="003068FC">
        <w:trPr>
          <w:cantSplit/>
        </w:trPr>
        <w:tc>
          <w:tcPr>
            <w:tcW w:w="2898" w:type="dxa"/>
            <w:vAlign w:val="center"/>
          </w:tcPr>
          <w:p w:rsidR="0044586F" w:rsidRPr="003068FC" w:rsidRDefault="0044586F">
            <w:pPr>
              <w:keepNext/>
              <w:keepLines/>
              <w:rPr>
                <w:sz w:val="22"/>
                <w:szCs w:val="22"/>
              </w:rPr>
            </w:pPr>
            <w:r w:rsidRPr="003068FC">
              <w:rPr>
                <w:sz w:val="22"/>
                <w:szCs w:val="22"/>
              </w:rPr>
              <w:t>Unemployed in Areas of Substantial Unemployment (6.5%)</w:t>
            </w:r>
            <w:r w:rsidRPr="003068FC">
              <w:rPr>
                <w:sz w:val="22"/>
                <w:szCs w:val="22"/>
                <w:vertAlign w:val="superscript"/>
              </w:rPr>
              <w:t>1</w:t>
            </w:r>
          </w:p>
        </w:tc>
        <w:tc>
          <w:tcPr>
            <w:tcW w:w="1980" w:type="dxa"/>
            <w:vAlign w:val="center"/>
          </w:tcPr>
          <w:p w:rsidR="0044586F" w:rsidRPr="003068FC" w:rsidRDefault="0044586F">
            <w:pPr>
              <w:keepNext/>
              <w:keepLines/>
              <w:jc w:val="center"/>
              <w:rPr>
                <w:sz w:val="22"/>
                <w:szCs w:val="22"/>
              </w:rPr>
            </w:pPr>
            <w:r w:rsidRPr="003068FC">
              <w:rPr>
                <w:sz w:val="22"/>
                <w:szCs w:val="22"/>
              </w:rPr>
              <w:t>33.3%</w:t>
            </w:r>
          </w:p>
        </w:tc>
        <w:tc>
          <w:tcPr>
            <w:tcW w:w="4698" w:type="dxa"/>
            <w:vAlign w:val="center"/>
          </w:tcPr>
          <w:p w:rsidR="0044586F" w:rsidRPr="003068FC" w:rsidRDefault="0044586F">
            <w:pPr>
              <w:keepNext/>
              <w:keepLines/>
              <w:rPr>
                <w:sz w:val="22"/>
                <w:szCs w:val="22"/>
              </w:rPr>
            </w:pPr>
            <w:r w:rsidRPr="003068FC">
              <w:rPr>
                <w:sz w:val="22"/>
                <w:szCs w:val="22"/>
              </w:rPr>
              <w:t>Local Area Unemployment Statistics,</w:t>
            </w:r>
          </w:p>
          <w:p w:rsidR="0044586F" w:rsidRPr="003068FC" w:rsidRDefault="0044586F">
            <w:pPr>
              <w:keepNext/>
              <w:keepLines/>
              <w:rPr>
                <w:sz w:val="22"/>
                <w:szCs w:val="22"/>
              </w:rPr>
            </w:pPr>
            <w:r w:rsidRPr="003068FC">
              <w:rPr>
                <w:sz w:val="22"/>
                <w:szCs w:val="22"/>
              </w:rPr>
              <w:t xml:space="preserve">NYSDOL, </w:t>
            </w:r>
            <w:r w:rsidR="002508BB" w:rsidRPr="003068FC">
              <w:rPr>
                <w:sz w:val="22"/>
                <w:szCs w:val="22"/>
              </w:rPr>
              <w:t>a</w:t>
            </w:r>
            <w:r w:rsidR="00EC712D" w:rsidRPr="003068FC">
              <w:rPr>
                <w:sz w:val="22"/>
                <w:szCs w:val="22"/>
              </w:rPr>
              <w:t xml:space="preserve">nnual </w:t>
            </w:r>
            <w:r w:rsidR="002508BB" w:rsidRPr="003068FC">
              <w:rPr>
                <w:sz w:val="22"/>
                <w:szCs w:val="22"/>
              </w:rPr>
              <w:t>d</w:t>
            </w:r>
            <w:r w:rsidR="00EC712D" w:rsidRPr="003068FC">
              <w:rPr>
                <w:sz w:val="22"/>
                <w:szCs w:val="22"/>
              </w:rPr>
              <w:t>ata</w:t>
            </w:r>
          </w:p>
        </w:tc>
      </w:tr>
      <w:tr w:rsidR="0044586F" w:rsidRPr="003068FC">
        <w:trPr>
          <w:cantSplit/>
        </w:trPr>
        <w:tc>
          <w:tcPr>
            <w:tcW w:w="2898" w:type="dxa"/>
            <w:vAlign w:val="center"/>
          </w:tcPr>
          <w:p w:rsidR="0044586F" w:rsidRPr="003068FC" w:rsidRDefault="0044586F">
            <w:pPr>
              <w:keepNext/>
              <w:keepLines/>
              <w:rPr>
                <w:sz w:val="22"/>
                <w:szCs w:val="22"/>
              </w:rPr>
            </w:pPr>
            <w:r w:rsidRPr="003068FC">
              <w:rPr>
                <w:sz w:val="22"/>
                <w:szCs w:val="22"/>
              </w:rPr>
              <w:t>Excess Unemployed (4.5%)</w:t>
            </w:r>
            <w:r w:rsidRPr="003068FC">
              <w:rPr>
                <w:sz w:val="22"/>
                <w:szCs w:val="22"/>
                <w:vertAlign w:val="superscript"/>
              </w:rPr>
              <w:t>2</w:t>
            </w:r>
          </w:p>
        </w:tc>
        <w:tc>
          <w:tcPr>
            <w:tcW w:w="1980" w:type="dxa"/>
            <w:vAlign w:val="center"/>
          </w:tcPr>
          <w:p w:rsidR="0044586F" w:rsidRPr="003068FC" w:rsidRDefault="0044586F">
            <w:pPr>
              <w:keepNext/>
              <w:keepLines/>
              <w:jc w:val="center"/>
              <w:rPr>
                <w:sz w:val="22"/>
                <w:szCs w:val="22"/>
              </w:rPr>
            </w:pPr>
            <w:r w:rsidRPr="003068FC">
              <w:rPr>
                <w:sz w:val="22"/>
                <w:szCs w:val="22"/>
              </w:rPr>
              <w:t>33.3%</w:t>
            </w:r>
          </w:p>
        </w:tc>
        <w:tc>
          <w:tcPr>
            <w:tcW w:w="4698" w:type="dxa"/>
            <w:vAlign w:val="center"/>
          </w:tcPr>
          <w:p w:rsidR="0044586F" w:rsidRPr="003068FC" w:rsidRDefault="0044586F">
            <w:pPr>
              <w:keepNext/>
              <w:keepLines/>
              <w:rPr>
                <w:sz w:val="22"/>
                <w:szCs w:val="22"/>
              </w:rPr>
            </w:pPr>
            <w:r w:rsidRPr="003068FC">
              <w:rPr>
                <w:sz w:val="22"/>
                <w:szCs w:val="22"/>
              </w:rPr>
              <w:t>Local Area Unemployment Statistics,</w:t>
            </w:r>
          </w:p>
          <w:p w:rsidR="0044586F" w:rsidRPr="003068FC" w:rsidRDefault="0044586F">
            <w:pPr>
              <w:keepNext/>
              <w:keepLines/>
              <w:rPr>
                <w:sz w:val="22"/>
                <w:szCs w:val="22"/>
              </w:rPr>
            </w:pPr>
            <w:r w:rsidRPr="003068FC">
              <w:rPr>
                <w:sz w:val="22"/>
                <w:szCs w:val="22"/>
              </w:rPr>
              <w:t xml:space="preserve">NYSDOL, </w:t>
            </w:r>
            <w:r w:rsidR="002508BB" w:rsidRPr="003068FC">
              <w:rPr>
                <w:sz w:val="22"/>
                <w:szCs w:val="22"/>
              </w:rPr>
              <w:t>a</w:t>
            </w:r>
            <w:r w:rsidR="00EC712D" w:rsidRPr="003068FC">
              <w:rPr>
                <w:sz w:val="22"/>
                <w:szCs w:val="22"/>
              </w:rPr>
              <w:t xml:space="preserve">nnual </w:t>
            </w:r>
            <w:r w:rsidR="002508BB" w:rsidRPr="003068FC">
              <w:rPr>
                <w:sz w:val="22"/>
                <w:szCs w:val="22"/>
              </w:rPr>
              <w:t>d</w:t>
            </w:r>
            <w:r w:rsidR="00EC712D" w:rsidRPr="003068FC">
              <w:rPr>
                <w:sz w:val="22"/>
                <w:szCs w:val="22"/>
              </w:rPr>
              <w:t>ata</w:t>
            </w:r>
          </w:p>
        </w:tc>
      </w:tr>
      <w:tr w:rsidR="0044586F" w:rsidRPr="003068FC">
        <w:trPr>
          <w:cantSplit/>
        </w:trPr>
        <w:tc>
          <w:tcPr>
            <w:tcW w:w="2898" w:type="dxa"/>
            <w:vAlign w:val="center"/>
          </w:tcPr>
          <w:p w:rsidR="0044586F" w:rsidRPr="003068FC" w:rsidRDefault="0044586F">
            <w:pPr>
              <w:keepNext/>
              <w:keepLines/>
              <w:rPr>
                <w:sz w:val="22"/>
                <w:szCs w:val="22"/>
              </w:rPr>
            </w:pPr>
            <w:r w:rsidRPr="003068FC">
              <w:rPr>
                <w:sz w:val="22"/>
                <w:szCs w:val="22"/>
              </w:rPr>
              <w:t>Economically Disadvantaged Adults (Adult formula only)</w:t>
            </w:r>
            <w:r w:rsidRPr="003068FC">
              <w:rPr>
                <w:sz w:val="22"/>
                <w:szCs w:val="22"/>
                <w:vertAlign w:val="superscript"/>
              </w:rPr>
              <w:t>3</w:t>
            </w:r>
          </w:p>
        </w:tc>
        <w:tc>
          <w:tcPr>
            <w:tcW w:w="1980" w:type="dxa"/>
            <w:vAlign w:val="center"/>
          </w:tcPr>
          <w:p w:rsidR="0044586F" w:rsidRPr="003068FC" w:rsidRDefault="0044586F">
            <w:pPr>
              <w:keepNext/>
              <w:keepLines/>
              <w:jc w:val="center"/>
              <w:rPr>
                <w:sz w:val="22"/>
                <w:szCs w:val="22"/>
              </w:rPr>
            </w:pPr>
            <w:r w:rsidRPr="003068FC">
              <w:rPr>
                <w:sz w:val="22"/>
                <w:szCs w:val="22"/>
              </w:rPr>
              <w:t>33.3%</w:t>
            </w:r>
          </w:p>
        </w:tc>
        <w:tc>
          <w:tcPr>
            <w:tcW w:w="4698" w:type="dxa"/>
            <w:vAlign w:val="center"/>
          </w:tcPr>
          <w:p w:rsidR="0044586F" w:rsidRPr="003068FC" w:rsidRDefault="006B13ED" w:rsidP="006B13ED">
            <w:pPr>
              <w:keepNext/>
              <w:keepLines/>
              <w:rPr>
                <w:sz w:val="22"/>
                <w:szCs w:val="22"/>
              </w:rPr>
            </w:pPr>
            <w:r>
              <w:t>American Community Survey</w:t>
            </w:r>
            <w:r w:rsidR="0027777D">
              <w:t>,</w:t>
            </w:r>
            <w:r>
              <w:t xml:space="preserve"> 2006-2010</w:t>
            </w:r>
          </w:p>
        </w:tc>
      </w:tr>
      <w:tr w:rsidR="0044586F" w:rsidRPr="003068FC">
        <w:trPr>
          <w:cantSplit/>
        </w:trPr>
        <w:tc>
          <w:tcPr>
            <w:tcW w:w="2898" w:type="dxa"/>
            <w:vAlign w:val="center"/>
          </w:tcPr>
          <w:p w:rsidR="0044586F" w:rsidRPr="003068FC" w:rsidRDefault="0044586F">
            <w:pPr>
              <w:keepNext/>
              <w:keepLines/>
              <w:rPr>
                <w:sz w:val="22"/>
                <w:szCs w:val="22"/>
              </w:rPr>
            </w:pPr>
            <w:r w:rsidRPr="003068FC">
              <w:rPr>
                <w:sz w:val="22"/>
                <w:szCs w:val="22"/>
              </w:rPr>
              <w:t>Economically Disadvantaged Youth (Youth formula only)</w:t>
            </w:r>
            <w:r w:rsidRPr="003068FC">
              <w:rPr>
                <w:sz w:val="22"/>
                <w:szCs w:val="22"/>
                <w:vertAlign w:val="superscript"/>
              </w:rPr>
              <w:t>4</w:t>
            </w:r>
          </w:p>
        </w:tc>
        <w:tc>
          <w:tcPr>
            <w:tcW w:w="1980" w:type="dxa"/>
            <w:vAlign w:val="center"/>
          </w:tcPr>
          <w:p w:rsidR="0044586F" w:rsidRPr="003068FC" w:rsidRDefault="0044586F">
            <w:pPr>
              <w:keepNext/>
              <w:keepLines/>
              <w:jc w:val="center"/>
              <w:rPr>
                <w:sz w:val="22"/>
                <w:szCs w:val="22"/>
              </w:rPr>
            </w:pPr>
            <w:r w:rsidRPr="003068FC">
              <w:rPr>
                <w:sz w:val="22"/>
                <w:szCs w:val="22"/>
              </w:rPr>
              <w:t>33.3%</w:t>
            </w:r>
          </w:p>
        </w:tc>
        <w:tc>
          <w:tcPr>
            <w:tcW w:w="4698" w:type="dxa"/>
            <w:vAlign w:val="center"/>
          </w:tcPr>
          <w:p w:rsidR="0044586F" w:rsidRPr="003068FC" w:rsidRDefault="006B13ED" w:rsidP="006B13ED">
            <w:pPr>
              <w:keepNext/>
              <w:keepLines/>
              <w:rPr>
                <w:sz w:val="22"/>
                <w:szCs w:val="22"/>
              </w:rPr>
            </w:pPr>
            <w:r>
              <w:t>American Community Survey</w:t>
            </w:r>
            <w:r w:rsidR="0027777D">
              <w:t>,</w:t>
            </w:r>
            <w:r>
              <w:t xml:space="preserve"> 2006-2010</w:t>
            </w:r>
          </w:p>
        </w:tc>
      </w:tr>
    </w:tbl>
    <w:p w:rsidR="0044586F" w:rsidRPr="003068FC" w:rsidRDefault="0044586F">
      <w:pPr>
        <w:keepNext/>
        <w:keepLines/>
        <w:ind w:left="450" w:hanging="180"/>
        <w:rPr>
          <w:sz w:val="20"/>
        </w:rPr>
      </w:pPr>
      <w:r w:rsidRPr="003068FC">
        <w:rPr>
          <w:sz w:val="20"/>
          <w:vertAlign w:val="superscript"/>
        </w:rPr>
        <w:t>1</w:t>
      </w:r>
      <w:r w:rsidRPr="003068FC">
        <w:rPr>
          <w:sz w:val="20"/>
        </w:rPr>
        <w:tab/>
        <w:t>Number of unemployed persons in areas with an unemployment rate of 6.5 percent or more.</w:t>
      </w:r>
    </w:p>
    <w:p w:rsidR="0044586F" w:rsidRPr="003068FC" w:rsidRDefault="0044586F">
      <w:pPr>
        <w:keepNext/>
        <w:keepLines/>
        <w:ind w:left="450" w:hanging="180"/>
        <w:rPr>
          <w:sz w:val="20"/>
        </w:rPr>
      </w:pPr>
      <w:r w:rsidRPr="003068FC">
        <w:rPr>
          <w:sz w:val="20"/>
          <w:vertAlign w:val="superscript"/>
        </w:rPr>
        <w:t>2</w:t>
      </w:r>
      <w:r w:rsidRPr="003068FC">
        <w:rPr>
          <w:sz w:val="20"/>
        </w:rPr>
        <w:tab/>
        <w:t>Number of unemployed in excess of 4.5 percent of the civilian labor force (in the W</w:t>
      </w:r>
      <w:r w:rsidR="00C177A5">
        <w:rPr>
          <w:sz w:val="20"/>
        </w:rPr>
        <w:t>D</w:t>
      </w:r>
      <w:r w:rsidRPr="003068FC">
        <w:rPr>
          <w:sz w:val="20"/>
        </w:rPr>
        <w:t>B or in the areas of substantial unemployment within the W</w:t>
      </w:r>
      <w:r w:rsidR="00C177A5">
        <w:rPr>
          <w:sz w:val="20"/>
        </w:rPr>
        <w:t>D</w:t>
      </w:r>
      <w:bookmarkStart w:id="0" w:name="_GoBack"/>
      <w:bookmarkEnd w:id="0"/>
      <w:r w:rsidRPr="003068FC">
        <w:rPr>
          <w:sz w:val="20"/>
        </w:rPr>
        <w:t>B, whichever is higher).</w:t>
      </w:r>
    </w:p>
    <w:p w:rsidR="0044586F" w:rsidRPr="003068FC" w:rsidRDefault="0044586F">
      <w:pPr>
        <w:pStyle w:val="BodyTextIndent2"/>
        <w:keepNext/>
        <w:keepLines/>
        <w:ind w:left="450" w:hanging="180"/>
        <w:rPr>
          <w:sz w:val="20"/>
        </w:rPr>
      </w:pPr>
      <w:r w:rsidRPr="003068FC">
        <w:rPr>
          <w:sz w:val="20"/>
          <w:vertAlign w:val="superscript"/>
        </w:rPr>
        <w:t>3</w:t>
      </w:r>
      <w:r w:rsidRPr="003068FC">
        <w:rPr>
          <w:sz w:val="20"/>
        </w:rPr>
        <w:tab/>
        <w:t>An adult aged 22-72 whose income, or whose family income, was below poverty or below 70 percent of the lower living standard income level.</w:t>
      </w:r>
    </w:p>
    <w:p w:rsidR="0044586F" w:rsidRPr="003068FC" w:rsidRDefault="0044586F">
      <w:pPr>
        <w:keepNext/>
        <w:keepLines/>
        <w:ind w:left="450" w:hanging="180"/>
        <w:rPr>
          <w:sz w:val="20"/>
        </w:rPr>
      </w:pPr>
      <w:r w:rsidRPr="003068FC">
        <w:rPr>
          <w:sz w:val="20"/>
          <w:vertAlign w:val="superscript"/>
        </w:rPr>
        <w:t>4</w:t>
      </w:r>
      <w:r w:rsidRPr="003068FC">
        <w:rPr>
          <w:sz w:val="20"/>
        </w:rPr>
        <w:tab/>
        <w:t>A youth aged 16-21 whose income, or whose family income, was below poverty or below 70 percent of the lower living standard income level.</w:t>
      </w:r>
    </w:p>
    <w:p w:rsidR="00322295" w:rsidRPr="003068FC" w:rsidRDefault="00322295" w:rsidP="003068FC">
      <w:pPr>
        <w:keepNext/>
        <w:keepLines/>
        <w:tabs>
          <w:tab w:val="left" w:pos="5760"/>
        </w:tabs>
        <w:ind w:left="450" w:hanging="180"/>
        <w:rPr>
          <w:sz w:val="22"/>
          <w:szCs w:val="22"/>
        </w:rPr>
      </w:pPr>
    </w:p>
    <w:p w:rsidR="00322295" w:rsidRPr="003068FC" w:rsidRDefault="00322295" w:rsidP="00322295">
      <w:pPr>
        <w:keepNext/>
        <w:keepLines/>
        <w:jc w:val="center"/>
        <w:rPr>
          <w:b/>
          <w:sz w:val="22"/>
          <w:szCs w:val="22"/>
        </w:rPr>
      </w:pPr>
      <w:r w:rsidRPr="003068FC">
        <w:rPr>
          <w:b/>
          <w:sz w:val="22"/>
          <w:szCs w:val="22"/>
        </w:rPr>
        <w:t>New York State Allocation Formula for the WI</w:t>
      </w:r>
      <w:r w:rsidR="00706768">
        <w:rPr>
          <w:b/>
          <w:sz w:val="22"/>
          <w:szCs w:val="22"/>
        </w:rPr>
        <w:t>O</w:t>
      </w:r>
      <w:r w:rsidRPr="003068FC">
        <w:rPr>
          <w:b/>
          <w:sz w:val="22"/>
          <w:szCs w:val="22"/>
        </w:rPr>
        <w:t>A Dislocated Worker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98"/>
        <w:gridCol w:w="1980"/>
        <w:gridCol w:w="4698"/>
      </w:tblGrid>
      <w:tr w:rsidR="00322295" w:rsidRPr="003068FC" w:rsidTr="003068FC">
        <w:trPr>
          <w:cantSplit/>
        </w:trPr>
        <w:tc>
          <w:tcPr>
            <w:tcW w:w="2898" w:type="dxa"/>
            <w:vAlign w:val="bottom"/>
          </w:tcPr>
          <w:p w:rsidR="00322295" w:rsidRPr="003068FC" w:rsidRDefault="00322295" w:rsidP="003068FC">
            <w:pPr>
              <w:keepNext/>
              <w:keepLines/>
              <w:rPr>
                <w:b/>
                <w:sz w:val="22"/>
                <w:szCs w:val="22"/>
              </w:rPr>
            </w:pPr>
            <w:r w:rsidRPr="003068FC">
              <w:rPr>
                <w:b/>
                <w:sz w:val="22"/>
                <w:szCs w:val="22"/>
              </w:rPr>
              <w:t>Allocation Factor</w:t>
            </w:r>
          </w:p>
        </w:tc>
        <w:tc>
          <w:tcPr>
            <w:tcW w:w="1980" w:type="dxa"/>
            <w:tcBorders>
              <w:bottom w:val="nil"/>
            </w:tcBorders>
            <w:vAlign w:val="center"/>
          </w:tcPr>
          <w:p w:rsidR="00322295" w:rsidRPr="003068FC" w:rsidRDefault="00322295" w:rsidP="003068FC">
            <w:pPr>
              <w:keepNext/>
              <w:keepLines/>
              <w:jc w:val="center"/>
              <w:rPr>
                <w:b/>
                <w:sz w:val="22"/>
                <w:szCs w:val="22"/>
              </w:rPr>
            </w:pPr>
            <w:r w:rsidRPr="003068FC">
              <w:rPr>
                <w:b/>
                <w:sz w:val="22"/>
                <w:szCs w:val="22"/>
              </w:rPr>
              <w:t>Weight Assigned in Formula</w:t>
            </w:r>
          </w:p>
        </w:tc>
        <w:tc>
          <w:tcPr>
            <w:tcW w:w="4698" w:type="dxa"/>
            <w:vAlign w:val="bottom"/>
          </w:tcPr>
          <w:p w:rsidR="00322295" w:rsidRPr="003068FC" w:rsidRDefault="00322295" w:rsidP="003068FC">
            <w:pPr>
              <w:keepNext/>
              <w:keepLines/>
              <w:rPr>
                <w:b/>
                <w:sz w:val="22"/>
                <w:szCs w:val="22"/>
              </w:rPr>
            </w:pPr>
            <w:r w:rsidRPr="003068FC">
              <w:rPr>
                <w:b/>
                <w:sz w:val="22"/>
                <w:szCs w:val="22"/>
              </w:rPr>
              <w:t>Data Sources</w:t>
            </w:r>
          </w:p>
        </w:tc>
      </w:tr>
      <w:tr w:rsidR="00322295" w:rsidRPr="003068FC" w:rsidTr="003068FC">
        <w:trPr>
          <w:cantSplit/>
        </w:trPr>
        <w:tc>
          <w:tcPr>
            <w:tcW w:w="2898" w:type="dxa"/>
          </w:tcPr>
          <w:p w:rsidR="00322295" w:rsidRPr="003068FC" w:rsidRDefault="00322295" w:rsidP="003068FC">
            <w:pPr>
              <w:keepNext/>
              <w:keepLines/>
              <w:rPr>
                <w:sz w:val="22"/>
                <w:szCs w:val="22"/>
              </w:rPr>
            </w:pPr>
            <w:r w:rsidRPr="003068FC">
              <w:rPr>
                <w:sz w:val="22"/>
                <w:szCs w:val="22"/>
              </w:rPr>
              <w:t>Unemployment Insurance Beneficiaries</w:t>
            </w:r>
          </w:p>
        </w:tc>
        <w:tc>
          <w:tcPr>
            <w:tcW w:w="1980" w:type="dxa"/>
            <w:vMerge w:val="restart"/>
            <w:tcBorders>
              <w:bottom w:val="nil"/>
            </w:tcBorders>
            <w:vAlign w:val="center"/>
          </w:tcPr>
          <w:p w:rsidR="00322295" w:rsidRPr="003068FC" w:rsidRDefault="00322295" w:rsidP="003068FC">
            <w:pPr>
              <w:keepNext/>
              <w:keepLines/>
              <w:jc w:val="center"/>
              <w:rPr>
                <w:sz w:val="22"/>
                <w:szCs w:val="22"/>
              </w:rPr>
            </w:pPr>
            <w:r w:rsidRPr="003068FC">
              <w:rPr>
                <w:sz w:val="22"/>
                <w:szCs w:val="22"/>
              </w:rPr>
              <w:t>Combined Weight</w:t>
            </w:r>
            <w:r w:rsidRPr="003068FC">
              <w:rPr>
                <w:sz w:val="22"/>
                <w:szCs w:val="22"/>
                <w:vertAlign w:val="superscript"/>
              </w:rPr>
              <w:t>5</w:t>
            </w:r>
          </w:p>
          <w:p w:rsidR="00322295" w:rsidRPr="003068FC" w:rsidRDefault="00322295" w:rsidP="003068FC">
            <w:pPr>
              <w:keepNext/>
              <w:keepLines/>
              <w:jc w:val="center"/>
              <w:rPr>
                <w:sz w:val="22"/>
                <w:szCs w:val="22"/>
              </w:rPr>
            </w:pPr>
            <w:r w:rsidRPr="003068FC">
              <w:rPr>
                <w:sz w:val="22"/>
                <w:szCs w:val="22"/>
              </w:rPr>
              <w:t>92%</w:t>
            </w:r>
          </w:p>
        </w:tc>
        <w:tc>
          <w:tcPr>
            <w:tcW w:w="4698" w:type="dxa"/>
          </w:tcPr>
          <w:p w:rsidR="00322295" w:rsidRPr="003068FC" w:rsidRDefault="00322295" w:rsidP="003068FC">
            <w:pPr>
              <w:keepNext/>
              <w:keepLines/>
              <w:rPr>
                <w:sz w:val="22"/>
                <w:szCs w:val="22"/>
              </w:rPr>
            </w:pPr>
            <w:r w:rsidRPr="003068FC">
              <w:rPr>
                <w:sz w:val="22"/>
                <w:szCs w:val="22"/>
              </w:rPr>
              <w:t>Unemployment Insurance data, most recent year, New York State Department of Labor</w:t>
            </w:r>
          </w:p>
        </w:tc>
      </w:tr>
      <w:tr w:rsidR="00322295" w:rsidRPr="003068FC" w:rsidTr="003068FC">
        <w:trPr>
          <w:cantSplit/>
        </w:trPr>
        <w:tc>
          <w:tcPr>
            <w:tcW w:w="2898" w:type="dxa"/>
          </w:tcPr>
          <w:p w:rsidR="00322295" w:rsidRPr="003068FC" w:rsidRDefault="00322295" w:rsidP="003068FC">
            <w:pPr>
              <w:keepNext/>
              <w:keepLines/>
              <w:rPr>
                <w:sz w:val="22"/>
                <w:szCs w:val="22"/>
              </w:rPr>
            </w:pPr>
            <w:r w:rsidRPr="003068FC">
              <w:rPr>
                <w:sz w:val="22"/>
                <w:szCs w:val="22"/>
              </w:rPr>
              <w:t>Long Term Unemployed</w:t>
            </w:r>
          </w:p>
        </w:tc>
        <w:tc>
          <w:tcPr>
            <w:tcW w:w="1980" w:type="dxa"/>
            <w:vMerge/>
            <w:tcBorders>
              <w:top w:val="nil"/>
            </w:tcBorders>
            <w:vAlign w:val="center"/>
          </w:tcPr>
          <w:p w:rsidR="00322295" w:rsidRPr="003068FC" w:rsidRDefault="00322295" w:rsidP="003068FC">
            <w:pPr>
              <w:keepNext/>
              <w:keepLines/>
              <w:jc w:val="center"/>
              <w:rPr>
                <w:sz w:val="22"/>
                <w:szCs w:val="22"/>
              </w:rPr>
            </w:pPr>
          </w:p>
        </w:tc>
        <w:tc>
          <w:tcPr>
            <w:tcW w:w="4698" w:type="dxa"/>
          </w:tcPr>
          <w:p w:rsidR="00322295" w:rsidRPr="003068FC" w:rsidRDefault="00322295" w:rsidP="003068FC">
            <w:pPr>
              <w:keepNext/>
              <w:keepLines/>
              <w:rPr>
                <w:sz w:val="22"/>
                <w:szCs w:val="22"/>
              </w:rPr>
            </w:pPr>
            <w:r w:rsidRPr="003068FC">
              <w:rPr>
                <w:sz w:val="22"/>
                <w:szCs w:val="22"/>
              </w:rPr>
              <w:t>US Department of Labor, Bureau of Labor Statistics and NYSDOL, most recent Calendar Year</w:t>
            </w:r>
          </w:p>
        </w:tc>
      </w:tr>
      <w:tr w:rsidR="00322295" w:rsidRPr="003068FC" w:rsidTr="003068FC">
        <w:trPr>
          <w:cantSplit/>
        </w:trPr>
        <w:tc>
          <w:tcPr>
            <w:tcW w:w="2898" w:type="dxa"/>
          </w:tcPr>
          <w:p w:rsidR="00322295" w:rsidRPr="003068FC" w:rsidRDefault="00322295" w:rsidP="003068FC">
            <w:pPr>
              <w:keepNext/>
              <w:keepLines/>
              <w:rPr>
                <w:sz w:val="22"/>
                <w:szCs w:val="22"/>
              </w:rPr>
            </w:pPr>
            <w:r w:rsidRPr="003068FC">
              <w:rPr>
                <w:sz w:val="22"/>
                <w:szCs w:val="22"/>
              </w:rPr>
              <w:t>Unemployed in Areas of Substantial Unemployment (6.5%)</w:t>
            </w:r>
            <w:r w:rsidRPr="003068FC">
              <w:rPr>
                <w:sz w:val="22"/>
                <w:szCs w:val="22"/>
                <w:vertAlign w:val="superscript"/>
              </w:rPr>
              <w:t>1</w:t>
            </w:r>
          </w:p>
        </w:tc>
        <w:tc>
          <w:tcPr>
            <w:tcW w:w="1980" w:type="dxa"/>
            <w:vAlign w:val="center"/>
          </w:tcPr>
          <w:p w:rsidR="00322295" w:rsidRPr="003068FC" w:rsidRDefault="00322295" w:rsidP="003068FC">
            <w:pPr>
              <w:keepNext/>
              <w:keepLines/>
              <w:jc w:val="center"/>
              <w:rPr>
                <w:sz w:val="22"/>
                <w:szCs w:val="22"/>
              </w:rPr>
            </w:pPr>
            <w:r w:rsidRPr="003068FC">
              <w:rPr>
                <w:sz w:val="22"/>
                <w:szCs w:val="22"/>
              </w:rPr>
              <w:t>2%</w:t>
            </w:r>
          </w:p>
        </w:tc>
        <w:tc>
          <w:tcPr>
            <w:tcW w:w="4698" w:type="dxa"/>
          </w:tcPr>
          <w:p w:rsidR="00322295" w:rsidRPr="003068FC" w:rsidRDefault="00322295" w:rsidP="003068FC">
            <w:pPr>
              <w:keepNext/>
              <w:keepLines/>
              <w:rPr>
                <w:sz w:val="22"/>
                <w:szCs w:val="22"/>
              </w:rPr>
            </w:pPr>
            <w:r w:rsidRPr="003068FC">
              <w:rPr>
                <w:sz w:val="22"/>
                <w:szCs w:val="22"/>
              </w:rPr>
              <w:t>Local Area Unemployment Statistics,</w:t>
            </w:r>
          </w:p>
          <w:p w:rsidR="00322295" w:rsidRPr="003068FC" w:rsidRDefault="00322295" w:rsidP="003068FC">
            <w:pPr>
              <w:keepNext/>
              <w:keepLines/>
              <w:rPr>
                <w:sz w:val="22"/>
                <w:szCs w:val="22"/>
              </w:rPr>
            </w:pPr>
            <w:r w:rsidRPr="003068FC">
              <w:rPr>
                <w:sz w:val="22"/>
                <w:szCs w:val="22"/>
              </w:rPr>
              <w:t>NYSDOL, annual data</w:t>
            </w:r>
          </w:p>
        </w:tc>
      </w:tr>
      <w:tr w:rsidR="00322295" w:rsidRPr="003068FC" w:rsidTr="003068FC">
        <w:trPr>
          <w:cantSplit/>
        </w:trPr>
        <w:tc>
          <w:tcPr>
            <w:tcW w:w="2898" w:type="dxa"/>
          </w:tcPr>
          <w:p w:rsidR="00322295" w:rsidRPr="003068FC" w:rsidRDefault="00322295" w:rsidP="003068FC">
            <w:pPr>
              <w:keepNext/>
              <w:keepLines/>
              <w:rPr>
                <w:sz w:val="22"/>
                <w:szCs w:val="22"/>
              </w:rPr>
            </w:pPr>
            <w:r w:rsidRPr="003068FC">
              <w:rPr>
                <w:sz w:val="22"/>
                <w:szCs w:val="22"/>
              </w:rPr>
              <w:t>Unemployed under the Mass Layoff Statistics program</w:t>
            </w:r>
            <w:r w:rsidRPr="003068FC">
              <w:rPr>
                <w:sz w:val="22"/>
                <w:szCs w:val="22"/>
                <w:vertAlign w:val="superscript"/>
              </w:rPr>
              <w:t>2</w:t>
            </w:r>
          </w:p>
        </w:tc>
        <w:tc>
          <w:tcPr>
            <w:tcW w:w="1980" w:type="dxa"/>
            <w:vAlign w:val="center"/>
          </w:tcPr>
          <w:p w:rsidR="00322295" w:rsidRPr="003068FC" w:rsidRDefault="00322295" w:rsidP="003068FC">
            <w:pPr>
              <w:keepNext/>
              <w:keepLines/>
              <w:jc w:val="center"/>
              <w:rPr>
                <w:sz w:val="22"/>
                <w:szCs w:val="22"/>
              </w:rPr>
            </w:pPr>
            <w:r w:rsidRPr="003068FC">
              <w:rPr>
                <w:sz w:val="22"/>
                <w:szCs w:val="22"/>
              </w:rPr>
              <w:t>2%</w:t>
            </w:r>
          </w:p>
        </w:tc>
        <w:tc>
          <w:tcPr>
            <w:tcW w:w="4698" w:type="dxa"/>
          </w:tcPr>
          <w:p w:rsidR="00322295" w:rsidRPr="003068FC" w:rsidRDefault="00322295" w:rsidP="003068FC">
            <w:pPr>
              <w:keepNext/>
              <w:keepLines/>
              <w:rPr>
                <w:sz w:val="22"/>
                <w:szCs w:val="22"/>
              </w:rPr>
            </w:pPr>
            <w:r w:rsidRPr="003068FC">
              <w:rPr>
                <w:sz w:val="22"/>
                <w:szCs w:val="22"/>
              </w:rPr>
              <w:t>Mass Layoff Statistics,</w:t>
            </w:r>
          </w:p>
          <w:p w:rsidR="00322295" w:rsidRPr="003068FC" w:rsidRDefault="00322295" w:rsidP="003068FC">
            <w:pPr>
              <w:keepNext/>
              <w:keepLines/>
              <w:rPr>
                <w:sz w:val="22"/>
                <w:szCs w:val="22"/>
              </w:rPr>
            </w:pPr>
            <w:r w:rsidRPr="003068FC">
              <w:rPr>
                <w:sz w:val="22"/>
                <w:szCs w:val="22"/>
              </w:rPr>
              <w:t>NYSDOL, 2-year data</w:t>
            </w:r>
          </w:p>
        </w:tc>
      </w:tr>
      <w:tr w:rsidR="00322295" w:rsidRPr="003068FC" w:rsidTr="003068FC">
        <w:trPr>
          <w:cantSplit/>
        </w:trPr>
        <w:tc>
          <w:tcPr>
            <w:tcW w:w="2898" w:type="dxa"/>
          </w:tcPr>
          <w:p w:rsidR="00322295" w:rsidRPr="003068FC" w:rsidRDefault="00322295" w:rsidP="003068FC">
            <w:pPr>
              <w:keepNext/>
              <w:keepLines/>
              <w:rPr>
                <w:sz w:val="22"/>
                <w:szCs w:val="22"/>
              </w:rPr>
            </w:pPr>
            <w:r w:rsidRPr="003068FC">
              <w:rPr>
                <w:sz w:val="22"/>
                <w:szCs w:val="22"/>
              </w:rPr>
              <w:t>Change in Employment in Industries with Job Losses in Past Five Years</w:t>
            </w:r>
            <w:r w:rsidRPr="003068FC">
              <w:rPr>
                <w:sz w:val="22"/>
                <w:szCs w:val="22"/>
                <w:vertAlign w:val="superscript"/>
              </w:rPr>
              <w:t>3</w:t>
            </w:r>
          </w:p>
        </w:tc>
        <w:tc>
          <w:tcPr>
            <w:tcW w:w="1980" w:type="dxa"/>
            <w:vAlign w:val="center"/>
          </w:tcPr>
          <w:p w:rsidR="00322295" w:rsidRPr="003068FC" w:rsidRDefault="00322295" w:rsidP="003068FC">
            <w:pPr>
              <w:keepNext/>
              <w:keepLines/>
              <w:jc w:val="center"/>
              <w:rPr>
                <w:sz w:val="22"/>
                <w:szCs w:val="22"/>
              </w:rPr>
            </w:pPr>
            <w:r w:rsidRPr="003068FC">
              <w:rPr>
                <w:sz w:val="22"/>
                <w:szCs w:val="22"/>
              </w:rPr>
              <w:t>2%</w:t>
            </w:r>
          </w:p>
        </w:tc>
        <w:tc>
          <w:tcPr>
            <w:tcW w:w="4698" w:type="dxa"/>
          </w:tcPr>
          <w:p w:rsidR="00322295" w:rsidRPr="003068FC" w:rsidRDefault="00322295" w:rsidP="003068FC">
            <w:pPr>
              <w:keepNext/>
              <w:keepLines/>
              <w:rPr>
                <w:sz w:val="22"/>
                <w:szCs w:val="22"/>
              </w:rPr>
            </w:pPr>
            <w:r w:rsidRPr="003068FC">
              <w:rPr>
                <w:sz w:val="22"/>
                <w:szCs w:val="22"/>
              </w:rPr>
              <w:t>Quarterly Census of Employment and Wages,</w:t>
            </w:r>
          </w:p>
          <w:p w:rsidR="00322295" w:rsidRPr="003068FC" w:rsidRDefault="00322295" w:rsidP="003068FC">
            <w:pPr>
              <w:keepNext/>
              <w:keepLines/>
              <w:rPr>
                <w:sz w:val="22"/>
                <w:szCs w:val="22"/>
              </w:rPr>
            </w:pPr>
            <w:r w:rsidRPr="003068FC">
              <w:rPr>
                <w:sz w:val="22"/>
                <w:szCs w:val="22"/>
              </w:rPr>
              <w:t>NYSDOL, 5-year data</w:t>
            </w:r>
          </w:p>
        </w:tc>
      </w:tr>
      <w:tr w:rsidR="00322295" w:rsidRPr="003068FC" w:rsidTr="003068FC">
        <w:trPr>
          <w:cantSplit/>
        </w:trPr>
        <w:tc>
          <w:tcPr>
            <w:tcW w:w="2898" w:type="dxa"/>
          </w:tcPr>
          <w:p w:rsidR="00322295" w:rsidRPr="003068FC" w:rsidRDefault="00322295" w:rsidP="003068FC">
            <w:pPr>
              <w:keepNext/>
              <w:keepLines/>
              <w:rPr>
                <w:sz w:val="22"/>
                <w:szCs w:val="22"/>
              </w:rPr>
            </w:pPr>
            <w:r w:rsidRPr="003068FC">
              <w:rPr>
                <w:sz w:val="22"/>
                <w:szCs w:val="22"/>
              </w:rPr>
              <w:t>Farms with Net Losses</w:t>
            </w:r>
            <w:r w:rsidRPr="003068FC">
              <w:rPr>
                <w:sz w:val="22"/>
                <w:szCs w:val="22"/>
                <w:vertAlign w:val="superscript"/>
              </w:rPr>
              <w:t>4</w:t>
            </w:r>
          </w:p>
        </w:tc>
        <w:tc>
          <w:tcPr>
            <w:tcW w:w="1980" w:type="dxa"/>
            <w:vAlign w:val="center"/>
          </w:tcPr>
          <w:p w:rsidR="00322295" w:rsidRPr="003068FC" w:rsidRDefault="00322295" w:rsidP="003068FC">
            <w:pPr>
              <w:keepNext/>
              <w:keepLines/>
              <w:jc w:val="center"/>
              <w:rPr>
                <w:sz w:val="22"/>
                <w:szCs w:val="22"/>
              </w:rPr>
            </w:pPr>
            <w:r w:rsidRPr="003068FC">
              <w:rPr>
                <w:sz w:val="22"/>
                <w:szCs w:val="22"/>
              </w:rPr>
              <w:t>2%</w:t>
            </w:r>
          </w:p>
        </w:tc>
        <w:tc>
          <w:tcPr>
            <w:tcW w:w="4698" w:type="dxa"/>
          </w:tcPr>
          <w:p w:rsidR="00322295" w:rsidRPr="003068FC" w:rsidRDefault="00322295" w:rsidP="003068FC">
            <w:pPr>
              <w:keepNext/>
              <w:keepLines/>
              <w:rPr>
                <w:sz w:val="22"/>
                <w:szCs w:val="22"/>
              </w:rPr>
            </w:pPr>
            <w:r w:rsidRPr="003068FC">
              <w:rPr>
                <w:sz w:val="22"/>
                <w:szCs w:val="22"/>
              </w:rPr>
              <w:t>Number of Farms with Sales of $10,000 or more, with expenses in excess of sales, 20</w:t>
            </w:r>
            <w:r w:rsidR="00F373F2">
              <w:rPr>
                <w:sz w:val="22"/>
                <w:szCs w:val="22"/>
              </w:rPr>
              <w:t>12</w:t>
            </w:r>
          </w:p>
          <w:p w:rsidR="00322295" w:rsidRPr="003068FC" w:rsidRDefault="00322295" w:rsidP="003068FC">
            <w:pPr>
              <w:keepNext/>
              <w:keepLines/>
              <w:rPr>
                <w:sz w:val="22"/>
                <w:szCs w:val="22"/>
              </w:rPr>
            </w:pPr>
            <w:r w:rsidRPr="003068FC">
              <w:rPr>
                <w:sz w:val="22"/>
                <w:szCs w:val="22"/>
              </w:rPr>
              <w:t>Census of Agriculture</w:t>
            </w:r>
          </w:p>
        </w:tc>
      </w:tr>
    </w:tbl>
    <w:p w:rsidR="00322295" w:rsidRPr="003068FC" w:rsidRDefault="00322295" w:rsidP="00322295">
      <w:pPr>
        <w:keepNext/>
        <w:keepLines/>
        <w:ind w:left="450" w:hanging="180"/>
        <w:rPr>
          <w:sz w:val="20"/>
        </w:rPr>
      </w:pPr>
      <w:r w:rsidRPr="003068FC">
        <w:rPr>
          <w:sz w:val="20"/>
          <w:vertAlign w:val="superscript"/>
        </w:rPr>
        <w:t>1</w:t>
      </w:r>
      <w:r w:rsidRPr="003068FC">
        <w:rPr>
          <w:sz w:val="20"/>
        </w:rPr>
        <w:tab/>
        <w:t>Represents unemployment concentrations.</w:t>
      </w:r>
    </w:p>
    <w:p w:rsidR="00322295" w:rsidRPr="003068FC" w:rsidRDefault="00322295" w:rsidP="00322295">
      <w:pPr>
        <w:keepNext/>
        <w:keepLines/>
        <w:ind w:left="450" w:hanging="180"/>
        <w:rPr>
          <w:sz w:val="20"/>
        </w:rPr>
      </w:pPr>
      <w:r w:rsidRPr="003068FC">
        <w:rPr>
          <w:sz w:val="20"/>
          <w:vertAlign w:val="superscript"/>
        </w:rPr>
        <w:t>2</w:t>
      </w:r>
      <w:r w:rsidRPr="003068FC">
        <w:rPr>
          <w:sz w:val="20"/>
        </w:rPr>
        <w:tab/>
        <w:t>Defined as 50 or more UI claimants from a single firm within a five week period.</w:t>
      </w:r>
    </w:p>
    <w:p w:rsidR="00322295" w:rsidRPr="003068FC" w:rsidRDefault="00322295" w:rsidP="00322295">
      <w:pPr>
        <w:pStyle w:val="BodyTextIndent2"/>
        <w:keepNext/>
        <w:keepLines/>
        <w:ind w:left="450" w:hanging="180"/>
        <w:rPr>
          <w:sz w:val="20"/>
        </w:rPr>
      </w:pPr>
      <w:r w:rsidRPr="003068FC">
        <w:rPr>
          <w:sz w:val="20"/>
          <w:vertAlign w:val="superscript"/>
        </w:rPr>
        <w:t>3</w:t>
      </w:r>
      <w:r w:rsidRPr="003068FC">
        <w:rPr>
          <w:sz w:val="20"/>
        </w:rPr>
        <w:tab/>
        <w:t>Represents declining industries data.  Defined as the number of jobs lost during the most recent five-year period in industries that lost jobs.   The number of jobs lost is determined by employment reports of employers as filed with the New York State Department of Labor under the Unemployment Insurance program (QCEW data).</w:t>
      </w:r>
    </w:p>
    <w:p w:rsidR="00322295" w:rsidRPr="003068FC" w:rsidRDefault="00322295" w:rsidP="00322295">
      <w:pPr>
        <w:keepNext/>
        <w:keepLines/>
        <w:ind w:left="450" w:hanging="180"/>
        <w:rPr>
          <w:sz w:val="20"/>
        </w:rPr>
      </w:pPr>
      <w:r w:rsidRPr="003068FC">
        <w:rPr>
          <w:sz w:val="20"/>
          <w:vertAlign w:val="superscript"/>
        </w:rPr>
        <w:t>4</w:t>
      </w:r>
      <w:r w:rsidRPr="003068FC">
        <w:rPr>
          <w:sz w:val="20"/>
        </w:rPr>
        <w:tab/>
        <w:t>Represents farmer-rancher economic hardship data.</w:t>
      </w:r>
    </w:p>
    <w:p w:rsidR="00322295" w:rsidRDefault="00322295" w:rsidP="00322295">
      <w:pPr>
        <w:keepNext/>
        <w:keepLines/>
        <w:ind w:left="450" w:hanging="180"/>
        <w:rPr>
          <w:sz w:val="20"/>
        </w:rPr>
      </w:pPr>
      <w:r w:rsidRPr="003068FC">
        <w:rPr>
          <w:sz w:val="20"/>
          <w:vertAlign w:val="superscript"/>
        </w:rPr>
        <w:t>5</w:t>
      </w:r>
      <w:r w:rsidRPr="003068FC">
        <w:rPr>
          <w:sz w:val="20"/>
        </w:rPr>
        <w:tab/>
        <w:t>The factors for Unemployment Insurance Beneficiaries and Long Term Unemployed have a combined weight of 92 percent.  They are, in effect, self-weighted in proportion to the total number of UI beneficiaries and long term unemployed.</w:t>
      </w:r>
    </w:p>
    <w:p w:rsidR="003068FC" w:rsidRPr="003068FC" w:rsidRDefault="003068FC" w:rsidP="00322295">
      <w:pPr>
        <w:keepNext/>
        <w:keepLines/>
        <w:ind w:left="450" w:hanging="180"/>
        <w:rPr>
          <w:sz w:val="20"/>
        </w:rPr>
      </w:pPr>
    </w:p>
    <w:p w:rsidR="00322295" w:rsidRPr="003068FC" w:rsidRDefault="00322295">
      <w:pPr>
        <w:keepNext/>
        <w:keepLines/>
        <w:ind w:left="450" w:hanging="180"/>
        <w:rPr>
          <w:sz w:val="20"/>
        </w:rPr>
      </w:pPr>
      <w:r w:rsidRPr="003068FC">
        <w:rPr>
          <w:sz w:val="20"/>
        </w:rPr>
        <w:t>Prepared by: Division of Research and Statistics, NYS Dept. of Labor</w:t>
      </w:r>
    </w:p>
    <w:sectPr w:rsidR="00322295" w:rsidRPr="003068FC" w:rsidSect="001B2F1C">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F85" w:rsidRDefault="004A2F85" w:rsidP="00322295">
      <w:r>
        <w:separator/>
      </w:r>
    </w:p>
  </w:endnote>
  <w:endnote w:type="continuationSeparator" w:id="0">
    <w:p w:rsidR="004A2F85" w:rsidRDefault="004A2F85" w:rsidP="0032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F85" w:rsidRDefault="004A2F85" w:rsidP="00322295">
      <w:r>
        <w:separator/>
      </w:r>
    </w:p>
  </w:footnote>
  <w:footnote w:type="continuationSeparator" w:id="0">
    <w:p w:rsidR="004A2F85" w:rsidRDefault="004A2F85" w:rsidP="00322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37660"/>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24E363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6E7"/>
    <w:rsid w:val="0005743F"/>
    <w:rsid w:val="001A1456"/>
    <w:rsid w:val="001B2F1C"/>
    <w:rsid w:val="002508BB"/>
    <w:rsid w:val="0027777D"/>
    <w:rsid w:val="003068FC"/>
    <w:rsid w:val="00322295"/>
    <w:rsid w:val="00431331"/>
    <w:rsid w:val="0044586F"/>
    <w:rsid w:val="004A2F85"/>
    <w:rsid w:val="00596FAF"/>
    <w:rsid w:val="006B13ED"/>
    <w:rsid w:val="00706768"/>
    <w:rsid w:val="007F6175"/>
    <w:rsid w:val="008846E7"/>
    <w:rsid w:val="00C177A5"/>
    <w:rsid w:val="00EC712D"/>
    <w:rsid w:val="00F37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F812C"/>
  <w15:docId w15:val="{96C4C4DF-EA4B-40AD-AC1B-3479B79E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B2F1C"/>
    <w:rPr>
      <w:sz w:val="24"/>
    </w:rPr>
  </w:style>
  <w:style w:type="paragraph" w:styleId="Heading1">
    <w:name w:val="heading 1"/>
    <w:basedOn w:val="Normal"/>
    <w:next w:val="Normal"/>
    <w:qFormat/>
    <w:rsid w:val="001B2F1C"/>
    <w:pPr>
      <w:keepNext/>
      <w:outlineLvl w:val="0"/>
    </w:pPr>
    <w:rPr>
      <w:u w:val="single"/>
    </w:rPr>
  </w:style>
  <w:style w:type="paragraph" w:styleId="Heading2">
    <w:name w:val="heading 2"/>
    <w:basedOn w:val="Normal"/>
    <w:next w:val="Normal"/>
    <w:qFormat/>
    <w:rsid w:val="001B2F1C"/>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B2F1C"/>
    <w:rPr>
      <w:rFonts w:ascii="Courier New" w:hAnsi="Courier New"/>
      <w:sz w:val="20"/>
    </w:rPr>
  </w:style>
  <w:style w:type="paragraph" w:styleId="BodyTextIndent">
    <w:name w:val="Body Text Indent"/>
    <w:basedOn w:val="Normal"/>
    <w:rsid w:val="001B2F1C"/>
    <w:pPr>
      <w:ind w:left="180" w:firstLine="180"/>
    </w:pPr>
  </w:style>
  <w:style w:type="paragraph" w:styleId="BodyTextIndent2">
    <w:name w:val="Body Text Indent 2"/>
    <w:basedOn w:val="Normal"/>
    <w:rsid w:val="001B2F1C"/>
    <w:pPr>
      <w:ind w:left="540" w:hanging="540"/>
    </w:pPr>
  </w:style>
  <w:style w:type="paragraph" w:styleId="FootnoteText">
    <w:name w:val="footnote text"/>
    <w:basedOn w:val="Normal"/>
    <w:semiHidden/>
    <w:rsid w:val="001B2F1C"/>
    <w:rPr>
      <w:sz w:val="20"/>
    </w:rPr>
  </w:style>
  <w:style w:type="character" w:styleId="FootnoteReference">
    <w:name w:val="footnote reference"/>
    <w:semiHidden/>
    <w:rsid w:val="001B2F1C"/>
    <w:rPr>
      <w:vertAlign w:val="superscript"/>
    </w:rPr>
  </w:style>
  <w:style w:type="paragraph" w:styleId="Header">
    <w:name w:val="header"/>
    <w:basedOn w:val="Normal"/>
    <w:link w:val="HeaderChar"/>
    <w:rsid w:val="00322295"/>
    <w:pPr>
      <w:tabs>
        <w:tab w:val="center" w:pos="4680"/>
        <w:tab w:val="right" w:pos="9360"/>
      </w:tabs>
    </w:pPr>
  </w:style>
  <w:style w:type="character" w:customStyle="1" w:styleId="HeaderChar">
    <w:name w:val="Header Char"/>
    <w:link w:val="Header"/>
    <w:rsid w:val="00322295"/>
    <w:rPr>
      <w:sz w:val="24"/>
    </w:rPr>
  </w:style>
  <w:style w:type="paragraph" w:styleId="Footer">
    <w:name w:val="footer"/>
    <w:basedOn w:val="Normal"/>
    <w:link w:val="FooterChar"/>
    <w:rsid w:val="00322295"/>
    <w:pPr>
      <w:tabs>
        <w:tab w:val="center" w:pos="4680"/>
        <w:tab w:val="right" w:pos="9360"/>
      </w:tabs>
    </w:pPr>
  </w:style>
  <w:style w:type="character" w:customStyle="1" w:styleId="FooterChar">
    <w:name w:val="Footer Char"/>
    <w:link w:val="Footer"/>
    <w:rsid w:val="0032229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Substate Allocation Formula</vt:lpstr>
    </vt:vector>
  </TitlesOfParts>
  <Company>NYSDOL</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Substate Allocation Formula</dc:title>
  <dc:subject/>
  <dc:creator>NYSDOL</dc:creator>
  <cp:keywords/>
  <cp:lastModifiedBy>Keating, Julie E (LABOR)</cp:lastModifiedBy>
  <cp:revision>8</cp:revision>
  <cp:lastPrinted>2003-01-28T15:35:00Z</cp:lastPrinted>
  <dcterms:created xsi:type="dcterms:W3CDTF">2011-05-17T15:27:00Z</dcterms:created>
  <dcterms:modified xsi:type="dcterms:W3CDTF">2017-10-13T21:51:00Z</dcterms:modified>
</cp:coreProperties>
</file>