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6D8A" w14:textId="77777777" w:rsidR="006870DA" w:rsidRPr="00915C09" w:rsidRDefault="006870DA" w:rsidP="006870DA">
      <w:pPr>
        <w:spacing w:after="0" w:line="240" w:lineRule="auto"/>
        <w:rPr>
          <w:rFonts w:eastAsia="Calibri" w:cs="Arial"/>
          <w:sz w:val="24"/>
          <w:szCs w:val="24"/>
        </w:rPr>
      </w:pPr>
      <w:r w:rsidRPr="00915C09">
        <w:rPr>
          <w:rFonts w:eastAsia="Calibri" w:cs="Arial"/>
          <w:b/>
          <w:sz w:val="24"/>
          <w:szCs w:val="24"/>
          <w:u w:val="single"/>
        </w:rPr>
        <w:t>Resources</w:t>
      </w:r>
    </w:p>
    <w:p w14:paraId="500FF630" w14:textId="77777777" w:rsidR="006870DA" w:rsidRPr="00915C09" w:rsidRDefault="006870DA" w:rsidP="006870DA">
      <w:pPr>
        <w:spacing w:after="0" w:line="240" w:lineRule="auto"/>
        <w:rPr>
          <w:rFonts w:eastAsia="Calibri" w:cs="Arial"/>
          <w:sz w:val="24"/>
          <w:szCs w:val="24"/>
        </w:rPr>
      </w:pPr>
    </w:p>
    <w:p w14:paraId="0F646BFA" w14:textId="77777777" w:rsidR="006870DA" w:rsidRPr="00915C09" w:rsidRDefault="006870DA" w:rsidP="006870DA">
      <w:pPr>
        <w:spacing w:after="120" w:line="240" w:lineRule="auto"/>
        <w:rPr>
          <w:rFonts w:eastAsia="Calibri" w:cs="Arial"/>
          <w:b/>
          <w:sz w:val="24"/>
          <w:szCs w:val="24"/>
        </w:rPr>
      </w:pPr>
      <w:r w:rsidRPr="00915C09">
        <w:rPr>
          <w:rFonts w:eastAsia="Calibri" w:cs="Arial"/>
          <w:b/>
          <w:sz w:val="24"/>
          <w:szCs w:val="24"/>
        </w:rPr>
        <w:t xml:space="preserve">Federal Resources </w:t>
      </w:r>
    </w:p>
    <w:p w14:paraId="1A8F15D0" w14:textId="77777777" w:rsidR="003F3E87" w:rsidRPr="00915C09" w:rsidRDefault="00F61E66" w:rsidP="006870DA">
      <w:pPr>
        <w:numPr>
          <w:ilvl w:val="0"/>
          <w:numId w:val="2"/>
        </w:numPr>
        <w:spacing w:after="120" w:line="240" w:lineRule="auto"/>
        <w:contextualSpacing/>
        <w:rPr>
          <w:rFonts w:eastAsia="Calibri" w:cs="Arial"/>
          <w:b/>
          <w:sz w:val="24"/>
          <w:szCs w:val="24"/>
        </w:rPr>
      </w:pPr>
      <w:hyperlink r:id="rId7" w:history="1">
        <w:r w:rsidR="003F3E87" w:rsidRPr="00915C09">
          <w:rPr>
            <w:rStyle w:val="Hyperlink"/>
            <w:rFonts w:eastAsia="Calibri" w:cs="Arial"/>
            <w:color w:val="0000FF"/>
            <w:sz w:val="24"/>
            <w:szCs w:val="24"/>
          </w:rPr>
          <w:t>Disability Employment Initiative (DEI) Round VIII</w:t>
        </w:r>
      </w:hyperlink>
      <w:r w:rsidR="003F3E87" w:rsidRPr="00915C09">
        <w:rPr>
          <w:rFonts w:eastAsia="Calibri" w:cs="Arial"/>
          <w:b/>
          <w:sz w:val="24"/>
          <w:szCs w:val="24"/>
        </w:rPr>
        <w:t xml:space="preserve"> Funding Opportunity Announcement #: FOA-ETA-17-05</w:t>
      </w:r>
    </w:p>
    <w:p w14:paraId="7E4484AE" w14:textId="77777777" w:rsidR="003F3E87" w:rsidRPr="00915C09" w:rsidRDefault="003F3E87" w:rsidP="003F3E87">
      <w:pPr>
        <w:spacing w:after="120" w:line="240" w:lineRule="auto"/>
        <w:ind w:left="720"/>
        <w:contextualSpacing/>
        <w:rPr>
          <w:rFonts w:eastAsia="Calibri" w:cs="Arial"/>
          <w:b/>
          <w:sz w:val="24"/>
          <w:szCs w:val="24"/>
        </w:rPr>
      </w:pPr>
    </w:p>
    <w:p w14:paraId="25A3094A" w14:textId="77777777" w:rsidR="006870DA" w:rsidRPr="00915C09" w:rsidRDefault="005C7FFC" w:rsidP="006870DA">
      <w:pPr>
        <w:numPr>
          <w:ilvl w:val="0"/>
          <w:numId w:val="2"/>
        </w:numPr>
        <w:spacing w:after="120" w:line="240" w:lineRule="auto"/>
        <w:contextualSpacing/>
        <w:rPr>
          <w:rFonts w:eastAsia="Calibri" w:cs="Arial"/>
          <w:b/>
          <w:sz w:val="24"/>
          <w:szCs w:val="24"/>
        </w:rPr>
      </w:pPr>
      <w:hyperlink r:id="rId8" w:history="1">
        <w:proofErr w:type="spellStart"/>
        <w:r w:rsidR="006870DA" w:rsidRPr="00915C09">
          <w:rPr>
            <w:rFonts w:eastAsia="Calibri" w:cs="Arial"/>
            <w:color w:val="0000FF"/>
            <w:sz w:val="24"/>
            <w:szCs w:val="24"/>
            <w:u w:val="single"/>
          </w:rPr>
          <w:t>WorkforceGPS</w:t>
        </w:r>
        <w:proofErr w:type="spellEnd"/>
      </w:hyperlink>
      <w:r w:rsidR="006870DA" w:rsidRPr="00915C09">
        <w:rPr>
          <w:rFonts w:eastAsia="Calibri" w:cs="Arial"/>
          <w:b/>
          <w:sz w:val="24"/>
          <w:szCs w:val="24"/>
        </w:rPr>
        <w:t xml:space="preserve"> – </w:t>
      </w:r>
    </w:p>
    <w:p w14:paraId="7AA81BF1" w14:textId="4358882E" w:rsidR="006870DA" w:rsidRDefault="006870DA" w:rsidP="006870DA">
      <w:pPr>
        <w:numPr>
          <w:ilvl w:val="1"/>
          <w:numId w:val="2"/>
        </w:numPr>
        <w:spacing w:after="120" w:line="240" w:lineRule="auto"/>
        <w:contextualSpacing/>
        <w:rPr>
          <w:rFonts w:eastAsia="Calibri" w:cs="Arial"/>
          <w:sz w:val="24"/>
          <w:szCs w:val="24"/>
        </w:rPr>
      </w:pPr>
      <w:r w:rsidRPr="00915C09">
        <w:rPr>
          <w:rFonts w:eastAsia="Calibri" w:cs="Arial"/>
          <w:sz w:val="24"/>
          <w:szCs w:val="24"/>
        </w:rPr>
        <w:t>Website sponsored by the US Department of Labor’s Employment and Training Administration (DOLETA) which includes recorded web-based trainings and reference materials.</w:t>
      </w:r>
    </w:p>
    <w:p w14:paraId="366D328A" w14:textId="789BDA25" w:rsidR="00F55A75" w:rsidRDefault="00F55A75" w:rsidP="006870DA">
      <w:pPr>
        <w:numPr>
          <w:ilvl w:val="1"/>
          <w:numId w:val="2"/>
        </w:numPr>
        <w:spacing w:after="120" w:line="240" w:lineRule="auto"/>
        <w:contextualSpacing/>
        <w:rPr>
          <w:rFonts w:eastAsia="Calibri" w:cs="Arial"/>
          <w:color w:val="0000FF"/>
          <w:sz w:val="24"/>
          <w:szCs w:val="24"/>
        </w:rPr>
      </w:pPr>
      <w:hyperlink r:id="rId9" w:history="1">
        <w:r w:rsidRPr="00F55A75">
          <w:rPr>
            <w:rStyle w:val="Hyperlink"/>
            <w:rFonts w:eastAsia="Calibri" w:cs="Arial"/>
            <w:color w:val="0000FF"/>
            <w:sz w:val="24"/>
            <w:szCs w:val="24"/>
          </w:rPr>
          <w:t>Disability Employment Initiative</w:t>
        </w:r>
        <w:r w:rsidRPr="00F55A75">
          <w:rPr>
            <w:rStyle w:val="Hyperlink"/>
            <w:rFonts w:eastAsia="Calibri" w:cs="Arial"/>
            <w:color w:val="0000FF"/>
            <w:sz w:val="24"/>
            <w:szCs w:val="24"/>
          </w:rPr>
          <w:t xml:space="preserve"> Resource</w:t>
        </w:r>
      </w:hyperlink>
    </w:p>
    <w:p w14:paraId="0E0CA67F" w14:textId="085CC0A4" w:rsidR="00F55A75" w:rsidRPr="00F55A75" w:rsidRDefault="00F55A75" w:rsidP="006870DA">
      <w:pPr>
        <w:numPr>
          <w:ilvl w:val="1"/>
          <w:numId w:val="2"/>
        </w:numPr>
        <w:spacing w:after="120" w:line="240" w:lineRule="auto"/>
        <w:contextualSpacing/>
        <w:rPr>
          <w:rFonts w:eastAsia="Calibri" w:cs="Arial"/>
          <w:color w:val="0000FF"/>
          <w:sz w:val="24"/>
          <w:szCs w:val="24"/>
        </w:rPr>
      </w:pPr>
      <w:hyperlink r:id="rId10" w:history="1">
        <w:r w:rsidRPr="00F55A75">
          <w:rPr>
            <w:rStyle w:val="Hyperlink"/>
            <w:rFonts w:eastAsia="Calibri" w:cs="Arial"/>
            <w:color w:val="0000FF"/>
            <w:sz w:val="24"/>
            <w:szCs w:val="24"/>
          </w:rPr>
          <w:t>Disability and Employment</w:t>
        </w:r>
      </w:hyperlink>
    </w:p>
    <w:p w14:paraId="617E756C" w14:textId="77777777" w:rsidR="00F55A75" w:rsidRPr="00915C09" w:rsidRDefault="00F55A75" w:rsidP="00C32C95">
      <w:pPr>
        <w:spacing w:after="120" w:line="240" w:lineRule="auto"/>
        <w:ind w:left="720"/>
        <w:contextualSpacing/>
        <w:rPr>
          <w:rFonts w:eastAsia="Calibri" w:cs="Arial"/>
          <w:sz w:val="24"/>
          <w:szCs w:val="24"/>
        </w:rPr>
      </w:pPr>
      <w:bookmarkStart w:id="0" w:name="_GoBack"/>
      <w:bookmarkEnd w:id="0"/>
    </w:p>
    <w:p w14:paraId="56F905E3" w14:textId="77777777" w:rsidR="006870DA" w:rsidRPr="00915C09" w:rsidRDefault="006870DA" w:rsidP="006870DA">
      <w:pPr>
        <w:numPr>
          <w:ilvl w:val="0"/>
          <w:numId w:val="4"/>
        </w:numPr>
        <w:spacing w:after="0" w:line="240" w:lineRule="auto"/>
        <w:rPr>
          <w:rFonts w:eastAsia="Calibri" w:cs="Arial"/>
          <w:b/>
          <w:sz w:val="24"/>
          <w:szCs w:val="24"/>
        </w:rPr>
      </w:pPr>
      <w:r w:rsidRPr="00915C09">
        <w:rPr>
          <w:rFonts w:eastAsia="Calibri" w:cs="Arial"/>
          <w:b/>
          <w:sz w:val="24"/>
          <w:szCs w:val="24"/>
        </w:rPr>
        <w:t>WIOA Legislation</w:t>
      </w:r>
    </w:p>
    <w:p w14:paraId="2A63CA34" w14:textId="77777777" w:rsidR="006870DA" w:rsidRPr="00915C09" w:rsidRDefault="00F61E66" w:rsidP="006870DA">
      <w:pPr>
        <w:numPr>
          <w:ilvl w:val="1"/>
          <w:numId w:val="4"/>
        </w:numPr>
        <w:spacing w:after="0" w:line="240" w:lineRule="auto"/>
        <w:ind w:left="1080"/>
        <w:contextualSpacing/>
        <w:rPr>
          <w:rFonts w:eastAsia="Calibri" w:cs="Arial"/>
          <w:sz w:val="24"/>
          <w:szCs w:val="24"/>
        </w:rPr>
      </w:pPr>
      <w:hyperlink r:id="rId11" w:history="1">
        <w:r w:rsidR="006870DA" w:rsidRPr="00915C09">
          <w:rPr>
            <w:rFonts w:eastAsia="Calibri" w:cs="Arial"/>
            <w:color w:val="0000FF"/>
            <w:sz w:val="24"/>
            <w:szCs w:val="24"/>
            <w:u w:val="single"/>
          </w:rPr>
          <w:t>WIOA Law</w:t>
        </w:r>
      </w:hyperlink>
    </w:p>
    <w:p w14:paraId="51510694" w14:textId="77777777" w:rsidR="006870DA" w:rsidRPr="00915C09" w:rsidRDefault="006870DA" w:rsidP="006870DA">
      <w:pPr>
        <w:spacing w:after="0" w:line="240" w:lineRule="auto"/>
        <w:ind w:left="1080"/>
        <w:contextualSpacing/>
        <w:rPr>
          <w:rFonts w:eastAsia="Calibri" w:cs="Arial"/>
          <w:sz w:val="24"/>
          <w:szCs w:val="24"/>
        </w:rPr>
      </w:pPr>
    </w:p>
    <w:p w14:paraId="2C7645DE" w14:textId="77777777" w:rsidR="006870DA" w:rsidRPr="00915C09" w:rsidRDefault="00F61E66" w:rsidP="006870DA">
      <w:pPr>
        <w:numPr>
          <w:ilvl w:val="1"/>
          <w:numId w:val="4"/>
        </w:numPr>
        <w:spacing w:after="0" w:line="240" w:lineRule="auto"/>
        <w:ind w:left="1080"/>
        <w:contextualSpacing/>
        <w:rPr>
          <w:rFonts w:eastAsia="Calibri" w:cs="Arial"/>
          <w:sz w:val="24"/>
          <w:szCs w:val="24"/>
        </w:rPr>
      </w:pPr>
      <w:hyperlink r:id="rId12" w:history="1">
        <w:r w:rsidR="006870DA" w:rsidRPr="00915C09">
          <w:rPr>
            <w:rFonts w:eastAsia="Calibri" w:cs="Arial"/>
            <w:color w:val="0000FF"/>
            <w:sz w:val="24"/>
            <w:szCs w:val="24"/>
            <w:u w:val="single"/>
          </w:rPr>
          <w:t>WIOA 20 CFR Parts 676, 677 and 678</w:t>
        </w:r>
      </w:hyperlink>
      <w:r w:rsidR="006870DA" w:rsidRPr="00915C09">
        <w:rPr>
          <w:rFonts w:eastAsia="Calibri" w:cs="Arial"/>
          <w:sz w:val="24"/>
          <w:szCs w:val="24"/>
        </w:rPr>
        <w:t xml:space="preserve"> </w:t>
      </w:r>
    </w:p>
    <w:p w14:paraId="506310EB"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§676 – Unified &amp; Combined State Plans Under Title I of WIOA</w:t>
      </w:r>
    </w:p>
    <w:p w14:paraId="038CD4DA"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§677 – Performance Accountability Under Title I of WIOA</w:t>
      </w:r>
    </w:p>
    <w:p w14:paraId="4CCE5BA1"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§678 – Description of the One-Stop Delivery System Under Title I of WIOA</w:t>
      </w:r>
    </w:p>
    <w:p w14:paraId="239DFE51" w14:textId="77777777" w:rsidR="006870DA" w:rsidRPr="00915C09" w:rsidRDefault="006870DA" w:rsidP="006870DA">
      <w:pPr>
        <w:spacing w:after="0" w:line="240" w:lineRule="auto"/>
        <w:ind w:left="2160"/>
        <w:contextualSpacing/>
        <w:rPr>
          <w:rFonts w:eastAsia="Calibri" w:cs="Arial"/>
          <w:sz w:val="24"/>
          <w:szCs w:val="24"/>
        </w:rPr>
      </w:pPr>
    </w:p>
    <w:p w14:paraId="7F322032" w14:textId="77777777" w:rsidR="006870DA" w:rsidRPr="00915C09" w:rsidRDefault="00F61E66" w:rsidP="006870DA">
      <w:pPr>
        <w:numPr>
          <w:ilvl w:val="1"/>
          <w:numId w:val="4"/>
        </w:numPr>
        <w:spacing w:after="0" w:line="240" w:lineRule="auto"/>
        <w:ind w:left="1080"/>
        <w:contextualSpacing/>
        <w:rPr>
          <w:rFonts w:eastAsia="Calibri" w:cs="Arial"/>
          <w:sz w:val="24"/>
          <w:szCs w:val="24"/>
        </w:rPr>
      </w:pPr>
      <w:hyperlink r:id="rId13" w:history="1">
        <w:r w:rsidR="006870DA" w:rsidRPr="00915C09">
          <w:rPr>
            <w:rFonts w:eastAsia="Calibri" w:cs="Arial"/>
            <w:color w:val="0000FF"/>
            <w:sz w:val="24"/>
            <w:szCs w:val="24"/>
            <w:u w:val="single"/>
          </w:rPr>
          <w:t>WIOA 20 CFR Parts 679, 680, 681, 682, 683</w:t>
        </w:r>
      </w:hyperlink>
    </w:p>
    <w:p w14:paraId="410A15E6"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§679 – Statewide &amp; Local Governance of the Workforce Development System under Title I of WIOA</w:t>
      </w:r>
    </w:p>
    <w:p w14:paraId="3AF6FC96"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§680 – Adult &amp; Dislocated Worker Activities under Title I of WIOA</w:t>
      </w:r>
    </w:p>
    <w:p w14:paraId="3044CCC7"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§681 – Youth Activities under Title I of WIOA</w:t>
      </w:r>
    </w:p>
    <w:p w14:paraId="5A70B04E"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§682 – Statewide Activities under Title I of WIOA</w:t>
      </w:r>
    </w:p>
    <w:p w14:paraId="30287B26"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§683 – Administrative Provisions under Title I of WIOA</w:t>
      </w:r>
    </w:p>
    <w:p w14:paraId="1C094057" w14:textId="77777777" w:rsidR="006870DA" w:rsidRPr="00915C09" w:rsidRDefault="006870DA" w:rsidP="006870DA">
      <w:pPr>
        <w:spacing w:after="0" w:line="240" w:lineRule="auto"/>
        <w:ind w:left="2160"/>
        <w:contextualSpacing/>
        <w:rPr>
          <w:rFonts w:eastAsia="Calibri" w:cs="Arial"/>
          <w:sz w:val="24"/>
          <w:szCs w:val="24"/>
        </w:rPr>
      </w:pPr>
    </w:p>
    <w:p w14:paraId="29F613C9" w14:textId="77777777" w:rsidR="006870DA" w:rsidRPr="00915C09" w:rsidRDefault="006870DA" w:rsidP="006870DA">
      <w:pPr>
        <w:numPr>
          <w:ilvl w:val="0"/>
          <w:numId w:val="4"/>
        </w:numPr>
        <w:spacing w:after="0" w:line="240" w:lineRule="auto"/>
        <w:contextualSpacing/>
        <w:rPr>
          <w:rFonts w:eastAsia="Calibri" w:cs="Arial"/>
          <w:b/>
          <w:sz w:val="24"/>
          <w:szCs w:val="24"/>
        </w:rPr>
      </w:pPr>
      <w:r w:rsidRPr="00915C09">
        <w:rPr>
          <w:rFonts w:eastAsia="Calibri" w:cs="Arial"/>
          <w:b/>
          <w:sz w:val="24"/>
          <w:szCs w:val="24"/>
        </w:rPr>
        <w:t>Training and Employment Guidance Letter’s (TEGL)</w:t>
      </w:r>
    </w:p>
    <w:p w14:paraId="6061D91D" w14:textId="77777777" w:rsidR="006870DA" w:rsidRPr="00915C09" w:rsidRDefault="006870DA" w:rsidP="006870DA">
      <w:pPr>
        <w:numPr>
          <w:ilvl w:val="1"/>
          <w:numId w:val="4"/>
        </w:numPr>
        <w:spacing w:after="0" w:line="240" w:lineRule="auto"/>
        <w:ind w:left="1080"/>
        <w:contextualSpacing/>
        <w:rPr>
          <w:rFonts w:eastAsia="Calibri" w:cs="Arial"/>
          <w:b/>
          <w:sz w:val="24"/>
          <w:szCs w:val="24"/>
        </w:rPr>
      </w:pPr>
      <w:r w:rsidRPr="00915C09">
        <w:rPr>
          <w:rFonts w:eastAsia="Calibri" w:cs="Arial"/>
          <w:b/>
          <w:sz w:val="24"/>
          <w:szCs w:val="24"/>
        </w:rPr>
        <w:t xml:space="preserve">DOLETA all WIOA related advisories </w:t>
      </w:r>
      <w:r w:rsidR="009D31CF">
        <w:rPr>
          <w:rFonts w:eastAsia="Calibri" w:cs="Arial"/>
          <w:b/>
          <w:sz w:val="24"/>
          <w:szCs w:val="24"/>
        </w:rPr>
        <w:t>are located at</w:t>
      </w:r>
      <w:r w:rsidRPr="00915C09">
        <w:rPr>
          <w:rFonts w:eastAsia="Calibri" w:cs="Arial"/>
          <w:b/>
          <w:sz w:val="24"/>
          <w:szCs w:val="24"/>
        </w:rPr>
        <w:t xml:space="preserve">- </w:t>
      </w:r>
      <w:hyperlink r:id="rId14" w:history="1">
        <w:r w:rsidRPr="00915C09">
          <w:rPr>
            <w:rFonts w:eastAsia="Calibri" w:cs="Arial"/>
            <w:color w:val="0000FF"/>
            <w:sz w:val="24"/>
            <w:szCs w:val="24"/>
            <w:u w:val="single"/>
          </w:rPr>
          <w:t>https://wdr.doleta.gov/directives/All_WIOA_Related_Advisories.cfm</w:t>
        </w:r>
      </w:hyperlink>
    </w:p>
    <w:p w14:paraId="24D3183C" w14:textId="77777777" w:rsidR="00A22A34" w:rsidRPr="00915C09" w:rsidRDefault="00A22A34" w:rsidP="00A22A34">
      <w:pPr>
        <w:tabs>
          <w:tab w:val="left" w:pos="2160"/>
        </w:tabs>
        <w:spacing w:after="120" w:line="240" w:lineRule="auto"/>
        <w:ind w:left="1080"/>
        <w:rPr>
          <w:rFonts w:cstheme="minorHAnsi"/>
          <w:color w:val="0563C1" w:themeColor="hyperlink"/>
          <w:sz w:val="24"/>
          <w:szCs w:val="24"/>
          <w:u w:val="single"/>
        </w:rPr>
      </w:pPr>
    </w:p>
    <w:p w14:paraId="51558273" w14:textId="77777777" w:rsidR="00A22A34" w:rsidRPr="00915C09" w:rsidRDefault="00A22A34" w:rsidP="00A22A34">
      <w:pPr>
        <w:numPr>
          <w:ilvl w:val="1"/>
          <w:numId w:val="4"/>
        </w:numPr>
        <w:tabs>
          <w:tab w:val="left" w:pos="2160"/>
        </w:tabs>
        <w:spacing w:after="120" w:line="240" w:lineRule="auto"/>
        <w:ind w:left="1080"/>
        <w:rPr>
          <w:rStyle w:val="Hyperlink"/>
          <w:rFonts w:cs="Arial"/>
          <w:sz w:val="24"/>
          <w:szCs w:val="24"/>
        </w:rPr>
      </w:pPr>
      <w:r w:rsidRPr="00915C09">
        <w:rPr>
          <w:rFonts w:cs="Arial"/>
          <w:b/>
          <w:sz w:val="24"/>
          <w:szCs w:val="24"/>
        </w:rPr>
        <w:t>USDOLETA:</w:t>
      </w:r>
      <w:r w:rsidRPr="00915C09">
        <w:rPr>
          <w:rFonts w:cs="Arial"/>
          <w:sz w:val="24"/>
          <w:szCs w:val="24"/>
        </w:rPr>
        <w:t xml:space="preserve"> </w:t>
      </w:r>
      <w:hyperlink r:id="rId15" w:history="1">
        <w:r w:rsidRPr="00915C09">
          <w:rPr>
            <w:rStyle w:val="Hyperlink"/>
            <w:rFonts w:cs="Arial"/>
            <w:color w:val="0000FF"/>
            <w:sz w:val="24"/>
            <w:szCs w:val="24"/>
          </w:rPr>
          <w:t>DEI webpage</w:t>
        </w:r>
      </w:hyperlink>
    </w:p>
    <w:p w14:paraId="587A48A6" w14:textId="77777777" w:rsidR="006870DA" w:rsidRPr="00915C09" w:rsidRDefault="006870DA" w:rsidP="006870DA">
      <w:pPr>
        <w:spacing w:after="0" w:line="240" w:lineRule="auto"/>
        <w:ind w:left="1440"/>
        <w:contextualSpacing/>
        <w:rPr>
          <w:rFonts w:eastAsia="Calibri" w:cs="Arial"/>
          <w:b/>
          <w:sz w:val="24"/>
          <w:szCs w:val="24"/>
        </w:rPr>
      </w:pPr>
    </w:p>
    <w:p w14:paraId="6641DE18" w14:textId="77777777" w:rsidR="006870DA" w:rsidRPr="00915C09" w:rsidRDefault="00F61E66" w:rsidP="006870DA">
      <w:pPr>
        <w:numPr>
          <w:ilvl w:val="1"/>
          <w:numId w:val="4"/>
        </w:numPr>
        <w:spacing w:after="0" w:line="240" w:lineRule="auto"/>
        <w:ind w:left="1080"/>
        <w:contextualSpacing/>
        <w:rPr>
          <w:rFonts w:eastAsia="Calibri" w:cs="Arial"/>
          <w:sz w:val="24"/>
          <w:szCs w:val="24"/>
        </w:rPr>
      </w:pPr>
      <w:hyperlink r:id="rId16" w:history="1">
        <w:r w:rsidR="006870DA" w:rsidRPr="00915C09">
          <w:rPr>
            <w:rFonts w:eastAsia="Calibri" w:cs="Arial"/>
            <w:color w:val="0000FF"/>
            <w:sz w:val="24"/>
            <w:szCs w:val="24"/>
            <w:u w:val="single"/>
          </w:rPr>
          <w:t>TEGL 21-16 WIOA Title I Youth Formula Program Guidance</w:t>
        </w:r>
      </w:hyperlink>
      <w:r w:rsidR="006870DA" w:rsidRPr="00915C09">
        <w:rPr>
          <w:rFonts w:eastAsia="Calibri" w:cs="Arial"/>
          <w:sz w:val="24"/>
          <w:szCs w:val="24"/>
        </w:rPr>
        <w:t xml:space="preserve"> (8/23/17)</w:t>
      </w:r>
    </w:p>
    <w:p w14:paraId="07F23E1A"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Eligibility (pg. 2)</w:t>
      </w:r>
    </w:p>
    <w:p w14:paraId="734516D3"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Program Design, including Objective Assessment (pg. 7)</w:t>
      </w:r>
    </w:p>
    <w:p w14:paraId="3C89A360"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Incentives (pg. 9)</w:t>
      </w:r>
    </w:p>
    <w:p w14:paraId="074D6422"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Competitive Procurement (pg. 11)</w:t>
      </w:r>
    </w:p>
    <w:p w14:paraId="3F07200D"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Program Elements (pg. 12)</w:t>
      </w:r>
    </w:p>
    <w:p w14:paraId="0F65794E" w14:textId="77777777" w:rsidR="006870DA" w:rsidRPr="00915C09" w:rsidRDefault="006870DA" w:rsidP="006870DA">
      <w:pPr>
        <w:spacing w:after="0" w:line="240" w:lineRule="auto"/>
        <w:ind w:left="1440"/>
        <w:contextualSpacing/>
        <w:rPr>
          <w:rFonts w:eastAsia="Calibri" w:cs="Arial"/>
          <w:sz w:val="24"/>
          <w:szCs w:val="24"/>
        </w:rPr>
      </w:pPr>
    </w:p>
    <w:p w14:paraId="42EB4C00" w14:textId="77777777" w:rsidR="006870DA" w:rsidRPr="00915C09" w:rsidRDefault="00F61E66" w:rsidP="006870DA">
      <w:pPr>
        <w:numPr>
          <w:ilvl w:val="1"/>
          <w:numId w:val="4"/>
        </w:numPr>
        <w:spacing w:after="0" w:line="240" w:lineRule="auto"/>
        <w:ind w:left="1080"/>
        <w:contextualSpacing/>
        <w:rPr>
          <w:rFonts w:eastAsia="Calibri" w:cs="Arial"/>
          <w:sz w:val="24"/>
          <w:szCs w:val="24"/>
        </w:rPr>
      </w:pPr>
      <w:hyperlink r:id="rId17" w:history="1">
        <w:r w:rsidR="006870DA" w:rsidRPr="00915C09">
          <w:rPr>
            <w:rFonts w:eastAsia="Calibri" w:cs="Arial"/>
            <w:color w:val="0000FF"/>
            <w:sz w:val="24"/>
            <w:szCs w:val="24"/>
            <w:u w:val="single"/>
          </w:rPr>
          <w:t>TEGL 10-16 Change 1 Performance Accountability Guidance for WIOA</w:t>
        </w:r>
      </w:hyperlink>
    </w:p>
    <w:p w14:paraId="57CF6B59"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Youth Education &amp; Employment Rate – 2</w:t>
      </w:r>
      <w:r w:rsidRPr="00915C09">
        <w:rPr>
          <w:rFonts w:eastAsia="Calibri" w:cs="Arial"/>
          <w:sz w:val="24"/>
          <w:szCs w:val="24"/>
          <w:vertAlign w:val="superscript"/>
        </w:rPr>
        <w:t>nd</w:t>
      </w:r>
      <w:r w:rsidRPr="00915C09">
        <w:rPr>
          <w:rFonts w:eastAsia="Calibri" w:cs="Arial"/>
          <w:sz w:val="24"/>
          <w:szCs w:val="24"/>
        </w:rPr>
        <w:t xml:space="preserve"> Quarter After Exit (pg. 9)</w:t>
      </w:r>
    </w:p>
    <w:p w14:paraId="4B561CE2"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Youth Education &amp; Employment Rate – 4</w:t>
      </w:r>
      <w:r w:rsidRPr="00915C09">
        <w:rPr>
          <w:rFonts w:eastAsia="Calibri" w:cs="Arial"/>
          <w:sz w:val="24"/>
          <w:szCs w:val="24"/>
          <w:vertAlign w:val="superscript"/>
        </w:rPr>
        <w:t>th</w:t>
      </w:r>
      <w:r w:rsidRPr="00915C09">
        <w:rPr>
          <w:rFonts w:eastAsia="Calibri" w:cs="Arial"/>
          <w:sz w:val="24"/>
          <w:szCs w:val="24"/>
        </w:rPr>
        <w:t xml:space="preserve"> Quarter After Exit (pg. 10)</w:t>
      </w:r>
    </w:p>
    <w:p w14:paraId="419EE4FD"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Median Earnings – 2</w:t>
      </w:r>
      <w:r w:rsidRPr="00915C09">
        <w:rPr>
          <w:rFonts w:eastAsia="Calibri" w:cs="Arial"/>
          <w:sz w:val="24"/>
          <w:szCs w:val="24"/>
          <w:vertAlign w:val="superscript"/>
        </w:rPr>
        <w:t>nd</w:t>
      </w:r>
      <w:r w:rsidRPr="00915C09">
        <w:rPr>
          <w:rFonts w:eastAsia="Calibri" w:cs="Arial"/>
          <w:sz w:val="24"/>
          <w:szCs w:val="24"/>
        </w:rPr>
        <w:t xml:space="preserve"> Quarter After Exit (pg. 11)</w:t>
      </w:r>
    </w:p>
    <w:p w14:paraId="07C3A46A"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Credential Attainment (pg. 12)</w:t>
      </w:r>
    </w:p>
    <w:p w14:paraId="77873C90" w14:textId="77777777" w:rsidR="006870DA" w:rsidRPr="00915C09" w:rsidRDefault="00F61E66" w:rsidP="006870DA">
      <w:pPr>
        <w:numPr>
          <w:ilvl w:val="3"/>
          <w:numId w:val="4"/>
        </w:numPr>
        <w:spacing w:after="0" w:line="240" w:lineRule="auto"/>
        <w:ind w:left="1440"/>
        <w:contextualSpacing/>
        <w:rPr>
          <w:rFonts w:eastAsia="Calibri" w:cs="Arial"/>
          <w:sz w:val="24"/>
          <w:szCs w:val="24"/>
        </w:rPr>
      </w:pPr>
      <w:hyperlink r:id="rId18" w:history="1">
        <w:proofErr w:type="spellStart"/>
        <w:r w:rsidR="006870DA" w:rsidRPr="00915C09">
          <w:rPr>
            <w:rFonts w:eastAsia="Calibri" w:cs="Arial"/>
            <w:color w:val="0000FF"/>
            <w:sz w:val="24"/>
            <w:szCs w:val="24"/>
            <w:u w:val="single"/>
          </w:rPr>
          <w:t>CareerOneStop</w:t>
        </w:r>
        <w:proofErr w:type="spellEnd"/>
        <w:r w:rsidR="006870DA" w:rsidRPr="00915C09">
          <w:rPr>
            <w:rFonts w:eastAsia="Calibri" w:cs="Arial"/>
            <w:color w:val="0000FF"/>
            <w:sz w:val="24"/>
            <w:szCs w:val="24"/>
            <w:u w:val="single"/>
          </w:rPr>
          <w:t xml:space="preserve"> Credentials Center</w:t>
        </w:r>
      </w:hyperlink>
    </w:p>
    <w:p w14:paraId="1A2B5A26"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Measurable Skills Gains (pg. 18)</w:t>
      </w:r>
    </w:p>
    <w:p w14:paraId="0C2E24C5" w14:textId="77777777" w:rsidR="006870DA" w:rsidRPr="00915C09" w:rsidRDefault="006870DA" w:rsidP="006870DA">
      <w:pPr>
        <w:numPr>
          <w:ilvl w:val="3"/>
          <w:numId w:val="4"/>
        </w:numPr>
        <w:spacing w:after="0" w:line="240" w:lineRule="auto"/>
        <w:ind w:left="1440"/>
        <w:contextualSpacing/>
        <w:rPr>
          <w:rFonts w:eastAsia="Calibri" w:cs="Arial"/>
          <w:sz w:val="24"/>
          <w:szCs w:val="24"/>
        </w:rPr>
      </w:pPr>
      <w:r w:rsidRPr="00915C09">
        <w:rPr>
          <w:rFonts w:eastAsia="Calibri" w:cs="Arial"/>
          <w:sz w:val="24"/>
          <w:szCs w:val="24"/>
        </w:rPr>
        <w:t xml:space="preserve">For EFL See TEGL 17-05 Change 2, </w:t>
      </w:r>
      <w:hyperlink r:id="rId19" w:history="1">
        <w:r w:rsidRPr="00915C09">
          <w:rPr>
            <w:rFonts w:eastAsia="Calibri" w:cs="Arial"/>
            <w:color w:val="0000FF"/>
            <w:sz w:val="24"/>
            <w:szCs w:val="24"/>
            <w:u w:val="single"/>
          </w:rPr>
          <w:t>Attachment A</w:t>
        </w:r>
      </w:hyperlink>
    </w:p>
    <w:p w14:paraId="61455F8C"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Categories of Enrollment – Reportable Individual, Participant &amp; Date of Program Exit (pg. 30)</w:t>
      </w:r>
    </w:p>
    <w:p w14:paraId="3D6F70BA" w14:textId="77777777" w:rsidR="006870DA" w:rsidRPr="00915C09" w:rsidRDefault="006870DA" w:rsidP="006870DA">
      <w:pPr>
        <w:ind w:left="720"/>
        <w:contextualSpacing/>
        <w:rPr>
          <w:rFonts w:eastAsia="Calibri" w:cs="Arial"/>
          <w:sz w:val="24"/>
          <w:szCs w:val="24"/>
        </w:rPr>
      </w:pPr>
    </w:p>
    <w:p w14:paraId="77445480" w14:textId="77777777" w:rsidR="006870DA" w:rsidRPr="00915C09" w:rsidRDefault="00F61E66" w:rsidP="006870DA">
      <w:pPr>
        <w:numPr>
          <w:ilvl w:val="1"/>
          <w:numId w:val="4"/>
        </w:numPr>
        <w:spacing w:after="0" w:line="240" w:lineRule="auto"/>
        <w:ind w:left="1080"/>
        <w:contextualSpacing/>
        <w:rPr>
          <w:rFonts w:eastAsia="Calibri" w:cs="Arial"/>
          <w:sz w:val="24"/>
          <w:szCs w:val="24"/>
        </w:rPr>
      </w:pPr>
      <w:hyperlink r:id="rId20" w:history="1">
        <w:r w:rsidR="006870DA" w:rsidRPr="00915C09">
          <w:rPr>
            <w:rFonts w:eastAsia="Calibri" w:cs="Arial"/>
            <w:color w:val="0000FF"/>
            <w:sz w:val="24"/>
            <w:szCs w:val="24"/>
            <w:u w:val="single"/>
          </w:rPr>
          <w:t>TEGL 33-12</w:t>
        </w:r>
      </w:hyperlink>
      <w:r w:rsidR="006870DA" w:rsidRPr="00915C09">
        <w:rPr>
          <w:rFonts w:eastAsia="Calibri" w:cs="Arial"/>
          <w:sz w:val="24"/>
          <w:szCs w:val="24"/>
        </w:rPr>
        <w:t xml:space="preserve"> WIA Youth Program Guidance for Program Year (PY) 2013 (6/11/13)</w:t>
      </w:r>
    </w:p>
    <w:p w14:paraId="136AB6E7" w14:textId="77777777" w:rsidR="006870DA" w:rsidRPr="00915C09" w:rsidRDefault="006870DA" w:rsidP="006870DA">
      <w:pPr>
        <w:numPr>
          <w:ilvl w:val="2"/>
          <w:numId w:val="4"/>
        </w:numPr>
        <w:spacing w:after="0" w:line="240" w:lineRule="auto"/>
        <w:ind w:left="1440"/>
        <w:contextualSpacing/>
        <w:rPr>
          <w:rFonts w:eastAsia="Calibri" w:cs="Arial"/>
          <w:sz w:val="24"/>
          <w:szCs w:val="24"/>
        </w:rPr>
      </w:pPr>
      <w:r w:rsidRPr="00915C09">
        <w:rPr>
          <w:rFonts w:eastAsia="Calibri" w:cs="Arial"/>
          <w:sz w:val="24"/>
          <w:szCs w:val="24"/>
        </w:rPr>
        <w:t>Though dated, this TEGL remains active and provides guidance on:</w:t>
      </w:r>
    </w:p>
    <w:p w14:paraId="7FF76DE4" w14:textId="77777777" w:rsidR="006870DA" w:rsidRPr="00915C09" w:rsidRDefault="006870DA" w:rsidP="006870DA">
      <w:pPr>
        <w:numPr>
          <w:ilvl w:val="3"/>
          <w:numId w:val="4"/>
        </w:numPr>
        <w:spacing w:after="0" w:line="240" w:lineRule="auto"/>
        <w:ind w:left="1800"/>
        <w:contextualSpacing/>
        <w:rPr>
          <w:rFonts w:eastAsia="Calibri" w:cs="Arial"/>
          <w:sz w:val="24"/>
          <w:szCs w:val="24"/>
        </w:rPr>
      </w:pPr>
      <w:r w:rsidRPr="00915C09">
        <w:rPr>
          <w:rFonts w:eastAsia="Calibri" w:cs="Arial"/>
          <w:sz w:val="24"/>
          <w:szCs w:val="24"/>
        </w:rPr>
        <w:t>ISS (pg. 3)</w:t>
      </w:r>
    </w:p>
    <w:p w14:paraId="523FC9F3" w14:textId="77777777" w:rsidR="006870DA" w:rsidRPr="00915C09" w:rsidRDefault="006870DA" w:rsidP="006870DA">
      <w:pPr>
        <w:numPr>
          <w:ilvl w:val="3"/>
          <w:numId w:val="4"/>
        </w:numPr>
        <w:spacing w:after="0" w:line="240" w:lineRule="auto"/>
        <w:ind w:left="1800"/>
        <w:contextualSpacing/>
        <w:rPr>
          <w:rFonts w:eastAsia="Calibri" w:cs="Arial"/>
          <w:sz w:val="24"/>
          <w:szCs w:val="24"/>
        </w:rPr>
      </w:pPr>
      <w:r w:rsidRPr="00915C09">
        <w:rPr>
          <w:rFonts w:eastAsia="Calibri" w:cs="Arial"/>
          <w:sz w:val="24"/>
          <w:szCs w:val="24"/>
        </w:rPr>
        <w:t>Case File Maintenance (pg. 5)</w:t>
      </w:r>
    </w:p>
    <w:p w14:paraId="74334E82" w14:textId="77777777" w:rsidR="006870DA" w:rsidRPr="00915C09" w:rsidRDefault="006870DA" w:rsidP="002842C1">
      <w:pPr>
        <w:numPr>
          <w:ilvl w:val="3"/>
          <w:numId w:val="4"/>
        </w:numPr>
        <w:spacing w:after="0" w:line="240" w:lineRule="auto"/>
        <w:ind w:left="1800"/>
        <w:contextualSpacing/>
        <w:rPr>
          <w:rFonts w:eastAsia="Calibri" w:cs="Arial"/>
          <w:sz w:val="24"/>
          <w:szCs w:val="24"/>
        </w:rPr>
      </w:pPr>
      <w:r w:rsidRPr="00915C09">
        <w:rPr>
          <w:rFonts w:eastAsia="Calibri" w:cs="Arial"/>
          <w:sz w:val="24"/>
          <w:szCs w:val="24"/>
        </w:rPr>
        <w:t>Service Providers &amp; Measurable Contract Goals (pg. 8)</w:t>
      </w:r>
    </w:p>
    <w:p w14:paraId="6F57CC42" w14:textId="77777777" w:rsidR="006870DA" w:rsidRPr="00915C09" w:rsidRDefault="006870DA" w:rsidP="006870DA">
      <w:pPr>
        <w:spacing w:after="0" w:line="240" w:lineRule="auto"/>
        <w:ind w:left="1440"/>
        <w:contextualSpacing/>
        <w:rPr>
          <w:rFonts w:eastAsia="Calibri" w:cs="Arial"/>
          <w:sz w:val="24"/>
          <w:szCs w:val="24"/>
        </w:rPr>
      </w:pPr>
    </w:p>
    <w:p w14:paraId="1643E3B6" w14:textId="77777777" w:rsidR="006870DA" w:rsidRDefault="00F61E66" w:rsidP="00915C09">
      <w:pPr>
        <w:numPr>
          <w:ilvl w:val="1"/>
          <w:numId w:val="4"/>
        </w:numPr>
        <w:spacing w:after="0" w:line="240" w:lineRule="auto"/>
        <w:ind w:left="1080"/>
        <w:contextualSpacing/>
        <w:rPr>
          <w:rFonts w:eastAsia="Calibri" w:cs="Arial"/>
          <w:sz w:val="24"/>
          <w:szCs w:val="24"/>
        </w:rPr>
      </w:pPr>
      <w:hyperlink r:id="rId21" w:history="1">
        <w:r w:rsidR="006870DA" w:rsidRPr="00915C09">
          <w:rPr>
            <w:rFonts w:eastAsia="Calibri" w:cs="Arial"/>
            <w:color w:val="0000FF"/>
            <w:sz w:val="24"/>
            <w:szCs w:val="24"/>
            <w:u w:val="single"/>
          </w:rPr>
          <w:t>TEGL 39-11</w:t>
        </w:r>
      </w:hyperlink>
      <w:r w:rsidR="006870DA" w:rsidRPr="00915C09">
        <w:rPr>
          <w:rFonts w:eastAsia="Calibri" w:cs="Arial"/>
          <w:sz w:val="24"/>
          <w:szCs w:val="24"/>
        </w:rPr>
        <w:t xml:space="preserve"> Guidance on the Handling and Protection of Personally Identifiable Information (PII)</w:t>
      </w:r>
    </w:p>
    <w:p w14:paraId="4583679A" w14:textId="77777777" w:rsidR="005C7FFC" w:rsidRDefault="005C7FFC" w:rsidP="005C7FFC">
      <w:pPr>
        <w:spacing w:after="0" w:line="240" w:lineRule="auto"/>
        <w:contextualSpacing/>
        <w:rPr>
          <w:rFonts w:eastAsia="Calibri" w:cs="Arial"/>
          <w:sz w:val="24"/>
          <w:szCs w:val="24"/>
        </w:rPr>
      </w:pPr>
    </w:p>
    <w:p w14:paraId="5D2A5869" w14:textId="77777777" w:rsidR="005C7FFC" w:rsidRPr="005C7FFC" w:rsidRDefault="005C7FFC" w:rsidP="005C7FFC">
      <w:pPr>
        <w:numPr>
          <w:ilvl w:val="1"/>
          <w:numId w:val="4"/>
        </w:numPr>
        <w:spacing w:after="0" w:line="240" w:lineRule="auto"/>
        <w:ind w:left="1080"/>
        <w:contextualSpacing/>
        <w:rPr>
          <w:rFonts w:eastAsia="Calibri" w:cs="Arial"/>
          <w:sz w:val="24"/>
          <w:szCs w:val="24"/>
        </w:rPr>
      </w:pPr>
      <w:hyperlink r:id="rId22" w:history="1">
        <w:r w:rsidRPr="005C7FFC">
          <w:rPr>
            <w:rStyle w:val="Hyperlink"/>
            <w:rFonts w:eastAsia="Calibri" w:cs="Arial"/>
            <w:color w:val="0000FF"/>
            <w:sz w:val="24"/>
            <w:szCs w:val="24"/>
          </w:rPr>
          <w:t>Training and Employment Notice (TEN) No. 24-18</w:t>
        </w:r>
      </w:hyperlink>
      <w:r w:rsidRPr="005C7FFC">
        <w:rPr>
          <w:rFonts w:eastAsia="Calibri" w:cs="Arial"/>
          <w:sz w:val="24"/>
          <w:szCs w:val="24"/>
        </w:rPr>
        <w:t xml:space="preserve"> Updated Promising Practices</w:t>
      </w:r>
      <w:r>
        <w:rPr>
          <w:rFonts w:eastAsia="Calibri" w:cs="Arial"/>
          <w:sz w:val="24"/>
          <w:szCs w:val="24"/>
        </w:rPr>
        <w:t xml:space="preserve"> </w:t>
      </w:r>
      <w:r w:rsidRPr="005C7FFC">
        <w:rPr>
          <w:rFonts w:eastAsia="Calibri" w:cs="Arial"/>
          <w:sz w:val="24"/>
          <w:szCs w:val="24"/>
        </w:rPr>
        <w:t>in Achieving Nondiscrimination and Equal Opportunity: A Section 188 Disability</w:t>
      </w:r>
      <w:r>
        <w:rPr>
          <w:rFonts w:eastAsia="Calibri" w:cs="Arial"/>
          <w:sz w:val="24"/>
          <w:szCs w:val="24"/>
        </w:rPr>
        <w:t xml:space="preserve"> </w:t>
      </w:r>
      <w:r w:rsidRPr="005C7FFC">
        <w:rPr>
          <w:rFonts w:eastAsia="Calibri" w:cs="Arial"/>
          <w:sz w:val="24"/>
          <w:szCs w:val="24"/>
        </w:rPr>
        <w:t>Reference Guide</w:t>
      </w:r>
    </w:p>
    <w:p w14:paraId="3C8E8957" w14:textId="77777777" w:rsidR="006870DA" w:rsidRPr="00915C09" w:rsidRDefault="006870DA" w:rsidP="00915C09">
      <w:pPr>
        <w:spacing w:line="240" w:lineRule="auto"/>
        <w:rPr>
          <w:rFonts w:eastAsia="Calibri" w:cs="Arial"/>
          <w:b/>
          <w:sz w:val="24"/>
          <w:szCs w:val="24"/>
        </w:rPr>
      </w:pPr>
    </w:p>
    <w:p w14:paraId="4337963D" w14:textId="77777777" w:rsidR="006870DA" w:rsidRPr="00915C09" w:rsidRDefault="006870DA" w:rsidP="006870DA">
      <w:pPr>
        <w:spacing w:after="0" w:line="240" w:lineRule="auto"/>
        <w:rPr>
          <w:rFonts w:eastAsia="Calibri" w:cs="Arial"/>
          <w:b/>
          <w:sz w:val="24"/>
          <w:szCs w:val="24"/>
        </w:rPr>
      </w:pPr>
      <w:r w:rsidRPr="00915C09">
        <w:rPr>
          <w:rFonts w:eastAsia="Calibri" w:cs="Arial"/>
          <w:b/>
          <w:sz w:val="24"/>
          <w:szCs w:val="24"/>
        </w:rPr>
        <w:t>NYSDOL Resources</w:t>
      </w:r>
    </w:p>
    <w:p w14:paraId="468B6E83" w14:textId="77777777" w:rsidR="004477D7" w:rsidRPr="00915C09" w:rsidRDefault="004477D7" w:rsidP="006870DA">
      <w:pPr>
        <w:spacing w:after="0" w:line="240" w:lineRule="auto"/>
        <w:rPr>
          <w:rFonts w:eastAsia="Calibri" w:cs="Arial"/>
          <w:b/>
          <w:sz w:val="24"/>
          <w:szCs w:val="24"/>
        </w:rPr>
      </w:pPr>
    </w:p>
    <w:p w14:paraId="6E1B74F3" w14:textId="77777777" w:rsidR="009948EE" w:rsidRDefault="009948EE" w:rsidP="004477D7">
      <w:pPr>
        <w:spacing w:after="0" w:line="240" w:lineRule="auto"/>
        <w:rPr>
          <w:rFonts w:eastAsia="Calibri" w:cs="Arial"/>
          <w:b/>
          <w:sz w:val="24"/>
          <w:szCs w:val="24"/>
        </w:rPr>
      </w:pPr>
      <w:r w:rsidRPr="009948EE">
        <w:rPr>
          <w:rFonts w:eastAsia="Calibri" w:cs="Arial"/>
          <w:b/>
          <w:sz w:val="24"/>
          <w:szCs w:val="24"/>
        </w:rPr>
        <w:t>Special Populations Team - Staff Contact Information</w:t>
      </w:r>
    </w:p>
    <w:p w14:paraId="2E62748E" w14:textId="77777777" w:rsidR="009948EE" w:rsidRPr="009948EE" w:rsidRDefault="009948EE" w:rsidP="009948EE">
      <w:pPr>
        <w:spacing w:after="0" w:line="240" w:lineRule="auto"/>
        <w:rPr>
          <w:rFonts w:eastAsia="Calibri" w:cs="Arial"/>
          <w:sz w:val="24"/>
          <w:szCs w:val="24"/>
        </w:rPr>
      </w:pPr>
      <w:r w:rsidRPr="009948EE">
        <w:rPr>
          <w:rFonts w:eastAsia="Calibri" w:cs="Arial"/>
          <w:sz w:val="24"/>
          <w:szCs w:val="24"/>
        </w:rPr>
        <w:t>Kerry Wiley, DEI State Lead - Round 8 (Youth)</w:t>
      </w:r>
      <w:r>
        <w:rPr>
          <w:rFonts w:eastAsia="Calibri" w:cs="Arial"/>
          <w:sz w:val="24"/>
          <w:szCs w:val="24"/>
        </w:rPr>
        <w:t xml:space="preserve"> - </w:t>
      </w:r>
      <w:r w:rsidRPr="009948EE">
        <w:rPr>
          <w:rFonts w:eastAsia="Calibri" w:cs="Arial"/>
          <w:sz w:val="24"/>
          <w:szCs w:val="24"/>
        </w:rPr>
        <w:t>Workforce Programs Specialist</w:t>
      </w:r>
    </w:p>
    <w:p w14:paraId="121E432E" w14:textId="77777777" w:rsidR="009948EE" w:rsidRPr="009948EE" w:rsidRDefault="009948EE" w:rsidP="009948EE">
      <w:pPr>
        <w:spacing w:after="0" w:line="240" w:lineRule="auto"/>
        <w:rPr>
          <w:rFonts w:eastAsia="Calibri" w:cs="Arial"/>
          <w:sz w:val="24"/>
          <w:szCs w:val="24"/>
        </w:rPr>
      </w:pPr>
      <w:r w:rsidRPr="009948EE">
        <w:rPr>
          <w:rFonts w:eastAsia="Calibri" w:cs="Arial"/>
          <w:sz w:val="24"/>
          <w:szCs w:val="24"/>
        </w:rPr>
        <w:t>State Office Campus</w:t>
      </w:r>
      <w:r>
        <w:rPr>
          <w:rFonts w:eastAsia="Calibri" w:cs="Arial"/>
          <w:sz w:val="24"/>
          <w:szCs w:val="24"/>
        </w:rPr>
        <w:t xml:space="preserve">, </w:t>
      </w:r>
      <w:r w:rsidRPr="009948EE">
        <w:rPr>
          <w:rFonts w:eastAsia="Calibri" w:cs="Arial"/>
          <w:sz w:val="24"/>
          <w:szCs w:val="24"/>
        </w:rPr>
        <w:t>Building 12, Room 440</w:t>
      </w:r>
      <w:r>
        <w:rPr>
          <w:rFonts w:eastAsia="Calibri" w:cs="Arial"/>
          <w:sz w:val="24"/>
          <w:szCs w:val="24"/>
        </w:rPr>
        <w:t xml:space="preserve">, </w:t>
      </w:r>
      <w:r w:rsidRPr="009948EE">
        <w:rPr>
          <w:rFonts w:eastAsia="Calibri" w:cs="Arial"/>
          <w:sz w:val="24"/>
          <w:szCs w:val="24"/>
        </w:rPr>
        <w:t>Albany, New York 12240</w:t>
      </w:r>
    </w:p>
    <w:p w14:paraId="2E03FC27" w14:textId="77777777" w:rsidR="005C7FFC" w:rsidRDefault="009948EE" w:rsidP="009948EE">
      <w:pPr>
        <w:spacing w:after="0" w:line="240" w:lineRule="auto"/>
        <w:rPr>
          <w:rFonts w:eastAsia="Calibri" w:cs="Arial"/>
          <w:sz w:val="24"/>
          <w:szCs w:val="24"/>
        </w:rPr>
      </w:pPr>
      <w:r w:rsidRPr="009948EE">
        <w:rPr>
          <w:rFonts w:eastAsia="Calibri" w:cs="Arial"/>
          <w:sz w:val="24"/>
          <w:szCs w:val="24"/>
        </w:rPr>
        <w:t>P: (518) 485-2588</w:t>
      </w:r>
      <w:r w:rsidR="005C7FFC">
        <w:rPr>
          <w:rFonts w:eastAsia="Calibri" w:cs="Arial"/>
          <w:sz w:val="24"/>
          <w:szCs w:val="24"/>
        </w:rPr>
        <w:t xml:space="preserve"> </w:t>
      </w:r>
    </w:p>
    <w:p w14:paraId="69ED1FBC" w14:textId="77777777" w:rsidR="009948EE" w:rsidRPr="009948EE" w:rsidRDefault="005C7FFC" w:rsidP="009948EE">
      <w:pPr>
        <w:spacing w:after="0" w:line="240" w:lineRule="auto"/>
        <w:rPr>
          <w:rFonts w:eastAsia="Calibri" w:cs="Arial"/>
          <w:sz w:val="24"/>
          <w:szCs w:val="24"/>
        </w:rPr>
      </w:pPr>
      <w:r>
        <w:rPr>
          <w:rFonts w:eastAsia="Calibri" w:cs="Arial"/>
          <w:sz w:val="24"/>
          <w:szCs w:val="24"/>
        </w:rPr>
        <w:t xml:space="preserve">E-Mail: </w:t>
      </w:r>
      <w:hyperlink r:id="rId23" w:history="1">
        <w:r w:rsidRPr="008C2AC1">
          <w:rPr>
            <w:rStyle w:val="Hyperlink"/>
            <w:rFonts w:eastAsia="Calibri" w:cs="Arial"/>
            <w:sz w:val="24"/>
            <w:szCs w:val="24"/>
          </w:rPr>
          <w:t>Kerry.Wiley@labor.ny.gov</w:t>
        </w:r>
      </w:hyperlink>
      <w:r>
        <w:rPr>
          <w:rFonts w:eastAsia="Calibri" w:cs="Arial"/>
          <w:sz w:val="24"/>
          <w:szCs w:val="24"/>
        </w:rPr>
        <w:t xml:space="preserve"> or </w:t>
      </w:r>
      <w:hyperlink r:id="rId24" w:history="1">
        <w:r w:rsidRPr="008C2AC1">
          <w:rPr>
            <w:rStyle w:val="Hyperlink"/>
            <w:rFonts w:eastAsia="Calibri" w:cs="Arial"/>
            <w:sz w:val="24"/>
            <w:szCs w:val="24"/>
          </w:rPr>
          <w:t>SpecialPopulations@labor.ny.gov</w:t>
        </w:r>
      </w:hyperlink>
      <w:r>
        <w:rPr>
          <w:rFonts w:eastAsia="Calibri" w:cs="Arial"/>
          <w:sz w:val="24"/>
          <w:szCs w:val="24"/>
        </w:rPr>
        <w:t xml:space="preserve"> </w:t>
      </w:r>
    </w:p>
    <w:p w14:paraId="48E758A5" w14:textId="77777777" w:rsidR="009948EE" w:rsidRDefault="009948EE" w:rsidP="004477D7">
      <w:pPr>
        <w:spacing w:after="0" w:line="240" w:lineRule="auto"/>
        <w:rPr>
          <w:rFonts w:eastAsia="Calibri" w:cs="Arial"/>
          <w:b/>
          <w:sz w:val="24"/>
          <w:szCs w:val="24"/>
        </w:rPr>
      </w:pPr>
    </w:p>
    <w:p w14:paraId="6E409A9D" w14:textId="77777777" w:rsidR="004477D7" w:rsidRPr="00C2451C" w:rsidRDefault="004477D7" w:rsidP="004477D7">
      <w:pPr>
        <w:spacing w:after="0" w:line="240" w:lineRule="auto"/>
        <w:rPr>
          <w:rFonts w:eastAsia="Calibri" w:cs="Arial"/>
          <w:sz w:val="24"/>
          <w:szCs w:val="24"/>
        </w:rPr>
      </w:pPr>
      <w:r w:rsidRPr="00915C09">
        <w:rPr>
          <w:rFonts w:eastAsia="Calibri" w:cs="Arial"/>
          <w:b/>
          <w:sz w:val="24"/>
          <w:szCs w:val="24"/>
        </w:rPr>
        <w:t>DEI Grant Proposal Submitted by NYSDOL to USDOL</w:t>
      </w:r>
      <w:r w:rsidR="00C2451C">
        <w:rPr>
          <w:rFonts w:eastAsia="Calibri" w:cs="Arial"/>
          <w:sz w:val="24"/>
          <w:szCs w:val="24"/>
        </w:rPr>
        <w:t xml:space="preserve"> located </w:t>
      </w:r>
      <w:r w:rsidR="000A3BD0">
        <w:rPr>
          <w:rFonts w:eastAsia="Calibri" w:cs="Arial"/>
          <w:sz w:val="24"/>
          <w:szCs w:val="24"/>
        </w:rPr>
        <w:t xml:space="preserve">on the NYSDOL server </w:t>
      </w:r>
      <w:r w:rsidR="00C2451C">
        <w:rPr>
          <w:rFonts w:eastAsia="Calibri" w:cs="Arial"/>
          <w:sz w:val="24"/>
          <w:szCs w:val="24"/>
        </w:rPr>
        <w:t>at DEWS-Public&gt;Workforce&gt;Program Development&gt;Disability&gt;DEI (Round 8)&gt;FOA Proposal</w:t>
      </w:r>
    </w:p>
    <w:p w14:paraId="3F786FB9" w14:textId="77777777" w:rsidR="004477D7" w:rsidRPr="00915C09" w:rsidRDefault="004477D7" w:rsidP="004477D7">
      <w:pPr>
        <w:spacing w:after="0" w:line="240" w:lineRule="auto"/>
        <w:rPr>
          <w:rFonts w:eastAsia="Calibri" w:cs="Arial"/>
          <w:b/>
          <w:sz w:val="24"/>
          <w:szCs w:val="24"/>
        </w:rPr>
      </w:pPr>
    </w:p>
    <w:p w14:paraId="0A62DB43" w14:textId="77777777" w:rsidR="004477D7" w:rsidRPr="00915C09" w:rsidRDefault="004477D7" w:rsidP="004477D7">
      <w:pPr>
        <w:spacing w:after="0" w:line="240" w:lineRule="auto"/>
        <w:rPr>
          <w:rFonts w:eastAsia="Calibri" w:cs="Arial"/>
          <w:b/>
          <w:sz w:val="24"/>
          <w:szCs w:val="24"/>
        </w:rPr>
      </w:pPr>
      <w:r w:rsidRPr="00915C09">
        <w:rPr>
          <w:rFonts w:eastAsia="Calibri" w:cs="Arial"/>
          <w:b/>
          <w:sz w:val="24"/>
          <w:szCs w:val="24"/>
        </w:rPr>
        <w:t xml:space="preserve">Research &amp; Statistics DEI 8 Reports available on the Management Report site or submit a request for the reports to the DEWS Performance mailbox  </w:t>
      </w:r>
      <w:hyperlink r:id="rId25" w:history="1">
        <w:r w:rsidRPr="00915C09">
          <w:rPr>
            <w:rStyle w:val="Hyperlink"/>
            <w:rFonts w:eastAsia="Calibri" w:cs="Arial"/>
            <w:b/>
            <w:color w:val="0000FF"/>
            <w:sz w:val="24"/>
            <w:szCs w:val="24"/>
          </w:rPr>
          <w:t>Dews.performance@labor.ny.gov</w:t>
        </w:r>
      </w:hyperlink>
      <w:r w:rsidRPr="00915C09">
        <w:rPr>
          <w:rFonts w:eastAsia="Calibri" w:cs="Arial"/>
          <w:b/>
          <w:color w:val="0000FF"/>
          <w:sz w:val="24"/>
          <w:szCs w:val="24"/>
        </w:rPr>
        <w:t xml:space="preserve"> </w:t>
      </w:r>
    </w:p>
    <w:p w14:paraId="0D823EA8" w14:textId="77777777" w:rsidR="004477D7" w:rsidRPr="00915C09" w:rsidRDefault="004477D7" w:rsidP="004477D7">
      <w:pPr>
        <w:spacing w:after="0" w:line="240" w:lineRule="auto"/>
        <w:rPr>
          <w:rFonts w:eastAsia="Calibri" w:cs="Arial"/>
          <w:b/>
          <w:sz w:val="24"/>
          <w:szCs w:val="24"/>
        </w:rPr>
      </w:pPr>
    </w:p>
    <w:p w14:paraId="58AA780A" w14:textId="77777777" w:rsidR="004477D7" w:rsidRPr="00915C09" w:rsidRDefault="004477D7" w:rsidP="004477D7">
      <w:pPr>
        <w:spacing w:after="0" w:line="240" w:lineRule="auto"/>
        <w:rPr>
          <w:rFonts w:eastAsia="Calibri" w:cs="Arial"/>
          <w:b/>
          <w:sz w:val="24"/>
          <w:szCs w:val="24"/>
        </w:rPr>
      </w:pPr>
      <w:r w:rsidRPr="00915C09">
        <w:rPr>
          <w:rFonts w:eastAsia="Calibri" w:cs="Arial"/>
          <w:b/>
          <w:sz w:val="24"/>
          <w:szCs w:val="24"/>
        </w:rPr>
        <w:t xml:space="preserve">NYSDOL DEI Website at </w:t>
      </w:r>
      <w:hyperlink r:id="rId26" w:history="1">
        <w:r w:rsidRPr="00915C09">
          <w:rPr>
            <w:rStyle w:val="Hyperlink"/>
            <w:rFonts w:eastAsia="Calibri" w:cs="Arial"/>
            <w:color w:val="0000FF"/>
            <w:sz w:val="24"/>
            <w:szCs w:val="24"/>
          </w:rPr>
          <w:t>https://labor.ny.gov/workforcenypartners/dpn_dei.shtm</w:t>
        </w:r>
      </w:hyperlink>
    </w:p>
    <w:p w14:paraId="1ECBFCA3" w14:textId="77777777" w:rsidR="006870DA" w:rsidRPr="00915C09" w:rsidRDefault="006870DA" w:rsidP="006870DA">
      <w:pPr>
        <w:spacing w:after="0" w:line="240" w:lineRule="auto"/>
        <w:rPr>
          <w:rFonts w:eastAsia="Calibri" w:cs="Arial"/>
          <w:b/>
          <w:sz w:val="24"/>
          <w:szCs w:val="24"/>
        </w:rPr>
      </w:pPr>
    </w:p>
    <w:p w14:paraId="12A7CD5D" w14:textId="77777777" w:rsidR="002842C1" w:rsidRPr="00915C09" w:rsidRDefault="002842C1" w:rsidP="006870DA">
      <w:pPr>
        <w:spacing w:after="0" w:line="240" w:lineRule="auto"/>
        <w:rPr>
          <w:rFonts w:eastAsia="Calibri" w:cs="Arial"/>
          <w:b/>
          <w:sz w:val="24"/>
          <w:szCs w:val="24"/>
        </w:rPr>
      </w:pPr>
      <w:r w:rsidRPr="00915C09">
        <w:rPr>
          <w:rFonts w:eastAsia="Calibri" w:cs="Arial"/>
          <w:b/>
          <w:sz w:val="24"/>
          <w:szCs w:val="24"/>
        </w:rPr>
        <w:t>LWDA Plan</w:t>
      </w:r>
      <w:r w:rsidRPr="00915C09">
        <w:rPr>
          <w:rFonts w:eastAsia="Calibri" w:cs="Arial"/>
          <w:color w:val="0000FF"/>
          <w:sz w:val="24"/>
          <w:szCs w:val="24"/>
        </w:rPr>
        <w:tab/>
      </w:r>
      <w:hyperlink r:id="rId27" w:history="1">
        <w:r w:rsidRPr="00915C09">
          <w:rPr>
            <w:rStyle w:val="Hyperlink"/>
            <w:rFonts w:eastAsia="Calibri" w:cs="Arial"/>
            <w:color w:val="0000FF"/>
            <w:sz w:val="24"/>
            <w:szCs w:val="24"/>
          </w:rPr>
          <w:t>https://labor.ny.gov/workforcenypartners/wioa/workforce-planning.shtm</w:t>
        </w:r>
      </w:hyperlink>
    </w:p>
    <w:p w14:paraId="4A7E1B96" w14:textId="77777777" w:rsidR="002842C1" w:rsidRPr="00915C09" w:rsidRDefault="002842C1" w:rsidP="006870DA">
      <w:pPr>
        <w:spacing w:after="0" w:line="240" w:lineRule="auto"/>
        <w:rPr>
          <w:rFonts w:eastAsia="Calibri" w:cs="Arial"/>
          <w:b/>
          <w:sz w:val="24"/>
          <w:szCs w:val="24"/>
        </w:rPr>
      </w:pPr>
    </w:p>
    <w:p w14:paraId="62F5292C" w14:textId="77777777" w:rsidR="006870DA" w:rsidRPr="00915C09" w:rsidRDefault="006870DA" w:rsidP="006870DA">
      <w:pPr>
        <w:spacing w:after="0" w:line="240" w:lineRule="auto"/>
        <w:rPr>
          <w:rFonts w:eastAsia="Calibri" w:cs="Arial"/>
          <w:sz w:val="24"/>
          <w:szCs w:val="24"/>
        </w:rPr>
      </w:pPr>
      <w:r w:rsidRPr="00915C09">
        <w:rPr>
          <w:rFonts w:eastAsia="Calibri" w:cs="Arial"/>
          <w:b/>
          <w:sz w:val="24"/>
          <w:szCs w:val="24"/>
        </w:rPr>
        <w:t>NYSDOL Youth Unit</w:t>
      </w:r>
      <w:r w:rsidRPr="00915C09">
        <w:rPr>
          <w:rFonts w:eastAsia="Calibri" w:cs="Arial"/>
          <w:sz w:val="24"/>
          <w:szCs w:val="24"/>
        </w:rPr>
        <w:t xml:space="preserve"> </w:t>
      </w:r>
      <w:r w:rsidRPr="00915C09">
        <w:rPr>
          <w:rFonts w:eastAsia="Calibri" w:cs="Arial"/>
          <w:b/>
          <w:sz w:val="24"/>
          <w:szCs w:val="24"/>
        </w:rPr>
        <w:t>Email-</w:t>
      </w:r>
      <w:r w:rsidRPr="00915C09">
        <w:rPr>
          <w:rFonts w:eastAsia="Calibri" w:cs="Arial"/>
          <w:sz w:val="24"/>
          <w:szCs w:val="24"/>
        </w:rPr>
        <w:t xml:space="preserve"> </w:t>
      </w:r>
      <w:hyperlink r:id="rId28" w:history="1">
        <w:r w:rsidRPr="00915C09">
          <w:rPr>
            <w:rFonts w:eastAsia="Calibri" w:cs="Arial"/>
            <w:color w:val="0000FF"/>
            <w:sz w:val="24"/>
            <w:szCs w:val="24"/>
            <w:u w:val="single"/>
          </w:rPr>
          <w:t>labor.sm.DEWS.YouthPortal@labor.ny.gov</w:t>
        </w:r>
      </w:hyperlink>
    </w:p>
    <w:p w14:paraId="72397B76" w14:textId="77777777" w:rsidR="006870DA" w:rsidRPr="00915C09" w:rsidRDefault="006870DA" w:rsidP="006870DA">
      <w:pPr>
        <w:spacing w:after="0" w:line="240" w:lineRule="auto"/>
        <w:rPr>
          <w:rFonts w:eastAsia="Calibri" w:cs="Arial"/>
          <w:b/>
          <w:sz w:val="24"/>
          <w:szCs w:val="24"/>
        </w:rPr>
      </w:pPr>
    </w:p>
    <w:p w14:paraId="22424F16" w14:textId="77777777" w:rsidR="006870DA" w:rsidRPr="00915C09" w:rsidRDefault="006870DA" w:rsidP="006870DA">
      <w:pPr>
        <w:numPr>
          <w:ilvl w:val="0"/>
          <w:numId w:val="5"/>
        </w:numPr>
        <w:spacing w:after="0" w:line="240" w:lineRule="auto"/>
        <w:contextualSpacing/>
        <w:rPr>
          <w:rFonts w:eastAsia="Calibri" w:cs="Arial"/>
          <w:color w:val="0000FF"/>
          <w:sz w:val="24"/>
          <w:szCs w:val="24"/>
          <w:u w:val="single"/>
        </w:rPr>
      </w:pPr>
      <w:r w:rsidRPr="00915C09">
        <w:rPr>
          <w:rFonts w:eastAsia="Calibri" w:cs="Arial"/>
          <w:sz w:val="24"/>
          <w:szCs w:val="24"/>
        </w:rPr>
        <w:fldChar w:fldCharType="begin"/>
      </w:r>
      <w:r w:rsidRPr="00915C09">
        <w:rPr>
          <w:rFonts w:eastAsia="Calibri" w:cs="Arial"/>
          <w:sz w:val="24"/>
          <w:szCs w:val="24"/>
        </w:rPr>
        <w:instrText xml:space="preserve"> HYPERLINK "https://www.labor.ny.gov/youth/PDFs/wioa-youth-eligibility.pdf" </w:instrText>
      </w:r>
      <w:r w:rsidRPr="00915C09">
        <w:rPr>
          <w:rFonts w:eastAsia="Calibri" w:cs="Arial"/>
          <w:sz w:val="24"/>
          <w:szCs w:val="24"/>
        </w:rPr>
        <w:fldChar w:fldCharType="separate"/>
      </w:r>
      <w:r w:rsidRPr="00915C09">
        <w:rPr>
          <w:rFonts w:eastAsia="Calibri" w:cs="Arial"/>
          <w:color w:val="0000FF"/>
          <w:sz w:val="24"/>
          <w:szCs w:val="24"/>
          <w:u w:val="single"/>
        </w:rPr>
        <w:t>WIOA Title I Youth Program Eligibility</w:t>
      </w:r>
    </w:p>
    <w:p w14:paraId="64E0C426" w14:textId="77777777" w:rsidR="006870DA" w:rsidRPr="00915C09" w:rsidRDefault="006870DA" w:rsidP="006870DA">
      <w:pPr>
        <w:spacing w:after="0" w:line="240" w:lineRule="auto"/>
        <w:ind w:left="720"/>
        <w:contextualSpacing/>
        <w:rPr>
          <w:rFonts w:eastAsia="Calibri" w:cs="Arial"/>
          <w:sz w:val="24"/>
          <w:szCs w:val="24"/>
        </w:rPr>
      </w:pPr>
      <w:r w:rsidRPr="00915C09">
        <w:rPr>
          <w:rFonts w:eastAsia="Calibri" w:cs="Arial"/>
          <w:sz w:val="24"/>
          <w:szCs w:val="24"/>
        </w:rPr>
        <w:fldChar w:fldCharType="end"/>
      </w:r>
    </w:p>
    <w:p w14:paraId="1DD1D8BF" w14:textId="77777777" w:rsidR="006870DA" w:rsidRPr="00915C09" w:rsidRDefault="00F61E66" w:rsidP="006870DA">
      <w:pPr>
        <w:numPr>
          <w:ilvl w:val="0"/>
          <w:numId w:val="5"/>
        </w:numPr>
        <w:spacing w:after="0" w:line="240" w:lineRule="auto"/>
        <w:contextualSpacing/>
        <w:rPr>
          <w:rFonts w:eastAsia="Calibri" w:cs="Arial"/>
          <w:sz w:val="24"/>
          <w:szCs w:val="24"/>
        </w:rPr>
      </w:pPr>
      <w:hyperlink r:id="rId29" w:history="1">
        <w:r w:rsidR="006870DA" w:rsidRPr="00915C09">
          <w:rPr>
            <w:rFonts w:eastAsia="Calibri" w:cs="Arial"/>
            <w:color w:val="0000FF"/>
            <w:sz w:val="24"/>
            <w:szCs w:val="24"/>
            <w:u w:val="single"/>
          </w:rPr>
          <w:t>14 Service Elements of WIOA Title I Youth Program</w:t>
        </w:r>
      </w:hyperlink>
    </w:p>
    <w:p w14:paraId="1674E34B" w14:textId="77777777" w:rsidR="006870DA" w:rsidRPr="00915C09" w:rsidRDefault="006870DA" w:rsidP="006870DA">
      <w:pPr>
        <w:spacing w:after="0" w:line="240" w:lineRule="auto"/>
        <w:ind w:left="720"/>
        <w:contextualSpacing/>
        <w:rPr>
          <w:rFonts w:eastAsia="Calibri" w:cs="Arial"/>
          <w:sz w:val="24"/>
          <w:szCs w:val="24"/>
        </w:rPr>
      </w:pPr>
    </w:p>
    <w:p w14:paraId="1D4067CD" w14:textId="77777777" w:rsidR="006870DA" w:rsidRPr="00915C09" w:rsidRDefault="006870DA" w:rsidP="006870DA">
      <w:pPr>
        <w:numPr>
          <w:ilvl w:val="0"/>
          <w:numId w:val="5"/>
        </w:numPr>
        <w:spacing w:after="0" w:line="240" w:lineRule="auto"/>
        <w:contextualSpacing/>
        <w:rPr>
          <w:rFonts w:eastAsia="Calibri" w:cs="Arial"/>
          <w:sz w:val="24"/>
          <w:szCs w:val="24"/>
        </w:rPr>
      </w:pPr>
      <w:r w:rsidRPr="00915C09">
        <w:rPr>
          <w:rFonts w:eastAsia="Calibri" w:cs="Arial"/>
          <w:sz w:val="24"/>
          <w:szCs w:val="24"/>
        </w:rPr>
        <w:t>Youth Unit Webinars – (new presentations posted on NYSDOL webpage)</w:t>
      </w:r>
    </w:p>
    <w:p w14:paraId="4ADAD5C0" w14:textId="77777777" w:rsidR="006870DA" w:rsidRPr="00915C09" w:rsidRDefault="00F61E66" w:rsidP="006870DA">
      <w:pPr>
        <w:numPr>
          <w:ilvl w:val="1"/>
          <w:numId w:val="5"/>
        </w:numPr>
        <w:spacing w:after="0" w:line="240" w:lineRule="auto"/>
        <w:contextualSpacing/>
        <w:rPr>
          <w:rFonts w:eastAsia="Calibri" w:cs="Arial"/>
          <w:sz w:val="24"/>
          <w:szCs w:val="24"/>
        </w:rPr>
      </w:pPr>
      <w:hyperlink r:id="rId30" w:history="1">
        <w:r w:rsidR="006870DA" w:rsidRPr="00915C09">
          <w:rPr>
            <w:rFonts w:eastAsia="Calibri" w:cs="Arial"/>
            <w:color w:val="0000FF"/>
            <w:sz w:val="24"/>
            <w:szCs w:val="24"/>
            <w:u w:val="single"/>
          </w:rPr>
          <w:t>OSOS Tips &amp; Tricks for Youth Program Data Entry</w:t>
        </w:r>
      </w:hyperlink>
    </w:p>
    <w:p w14:paraId="4846FC05" w14:textId="77777777" w:rsidR="006870DA" w:rsidRPr="00915C09" w:rsidRDefault="00F61E66" w:rsidP="006870DA">
      <w:pPr>
        <w:numPr>
          <w:ilvl w:val="1"/>
          <w:numId w:val="5"/>
        </w:numPr>
        <w:spacing w:after="0" w:line="240" w:lineRule="auto"/>
        <w:contextualSpacing/>
        <w:rPr>
          <w:rFonts w:eastAsia="Calibri" w:cs="Arial"/>
          <w:sz w:val="24"/>
          <w:szCs w:val="24"/>
        </w:rPr>
      </w:pPr>
      <w:hyperlink r:id="rId31" w:history="1">
        <w:r w:rsidR="006870DA" w:rsidRPr="00915C09">
          <w:rPr>
            <w:rFonts w:eastAsia="Calibri" w:cs="Arial"/>
            <w:color w:val="0000FF"/>
            <w:sz w:val="24"/>
            <w:szCs w:val="24"/>
            <w:u w:val="single"/>
          </w:rPr>
          <w:t>The LMI Element is More Than Occupational Information</w:t>
        </w:r>
      </w:hyperlink>
    </w:p>
    <w:p w14:paraId="663F1A6A" w14:textId="77777777" w:rsidR="006870DA" w:rsidRPr="00915C09" w:rsidRDefault="00F61E66" w:rsidP="006870DA">
      <w:pPr>
        <w:numPr>
          <w:ilvl w:val="1"/>
          <w:numId w:val="5"/>
        </w:numPr>
        <w:spacing w:after="0" w:line="240" w:lineRule="auto"/>
        <w:contextualSpacing/>
        <w:rPr>
          <w:rFonts w:eastAsia="Calibri" w:cs="Arial"/>
          <w:sz w:val="24"/>
          <w:szCs w:val="24"/>
        </w:rPr>
      </w:pPr>
      <w:hyperlink r:id="rId32" w:history="1">
        <w:r w:rsidR="006870DA" w:rsidRPr="00915C09">
          <w:rPr>
            <w:rFonts w:eastAsia="Calibri" w:cs="Arial"/>
            <w:color w:val="0000FF"/>
            <w:sz w:val="24"/>
            <w:szCs w:val="24"/>
            <w:u w:val="single"/>
          </w:rPr>
          <w:t>Insights into the WIOA Follow-Up Element</w:t>
        </w:r>
      </w:hyperlink>
    </w:p>
    <w:p w14:paraId="1DE5431B" w14:textId="77777777" w:rsidR="006870DA" w:rsidRPr="00915C09" w:rsidRDefault="00F61E66" w:rsidP="006870DA">
      <w:pPr>
        <w:numPr>
          <w:ilvl w:val="1"/>
          <w:numId w:val="5"/>
        </w:numPr>
        <w:spacing w:after="0" w:line="240" w:lineRule="auto"/>
        <w:contextualSpacing/>
        <w:rPr>
          <w:rFonts w:eastAsia="Calibri" w:cs="Arial"/>
          <w:sz w:val="24"/>
          <w:szCs w:val="24"/>
        </w:rPr>
      </w:pPr>
      <w:hyperlink r:id="rId33" w:history="1">
        <w:r w:rsidR="006870DA" w:rsidRPr="00915C09">
          <w:rPr>
            <w:rFonts w:eastAsia="Calibri" w:cs="Arial"/>
            <w:color w:val="0000FF"/>
            <w:sz w:val="24"/>
            <w:szCs w:val="24"/>
            <w:u w:val="single"/>
          </w:rPr>
          <w:t>Youth Service Types and Outcomes</w:t>
        </w:r>
      </w:hyperlink>
    </w:p>
    <w:p w14:paraId="7F4C1A2D" w14:textId="77777777" w:rsidR="006870DA" w:rsidRPr="00915C09" w:rsidRDefault="006870DA" w:rsidP="006870DA">
      <w:pPr>
        <w:spacing w:after="0" w:line="240" w:lineRule="auto"/>
        <w:rPr>
          <w:rFonts w:eastAsia="Calibri" w:cs="Arial"/>
          <w:b/>
          <w:sz w:val="24"/>
          <w:szCs w:val="24"/>
        </w:rPr>
      </w:pPr>
    </w:p>
    <w:p w14:paraId="25953978" w14:textId="77777777" w:rsidR="006870DA" w:rsidRPr="00355105" w:rsidRDefault="006870DA" w:rsidP="006870DA">
      <w:pPr>
        <w:spacing w:after="0" w:line="240" w:lineRule="auto"/>
        <w:rPr>
          <w:rFonts w:eastAsia="Calibri" w:cs="Arial"/>
          <w:b/>
          <w:sz w:val="24"/>
          <w:szCs w:val="24"/>
        </w:rPr>
      </w:pPr>
      <w:r w:rsidRPr="00915C09">
        <w:rPr>
          <w:rFonts w:eastAsia="Calibri" w:cs="Arial"/>
          <w:b/>
          <w:sz w:val="24"/>
          <w:szCs w:val="24"/>
        </w:rPr>
        <w:t>NYESS/OSOS Guides</w:t>
      </w:r>
    </w:p>
    <w:p w14:paraId="68CA73A7" w14:textId="77777777" w:rsidR="00325753" w:rsidRPr="00355105" w:rsidRDefault="00F61E66" w:rsidP="00355105">
      <w:pPr>
        <w:numPr>
          <w:ilvl w:val="0"/>
          <w:numId w:val="6"/>
        </w:numPr>
        <w:spacing w:after="120" w:line="240" w:lineRule="auto"/>
        <w:rPr>
          <w:rFonts w:eastAsia="Calibri" w:cs="Arial"/>
          <w:color w:val="0000FF"/>
          <w:sz w:val="24"/>
          <w:szCs w:val="24"/>
        </w:rPr>
      </w:pPr>
      <w:hyperlink r:id="rId34" w:history="1">
        <w:r w:rsidR="003F3E87" w:rsidRPr="00915C09">
          <w:rPr>
            <w:rStyle w:val="Hyperlink"/>
            <w:rFonts w:eastAsia="Calibri" w:cs="Arial"/>
            <w:color w:val="0000FF"/>
            <w:sz w:val="24"/>
            <w:szCs w:val="24"/>
          </w:rPr>
          <w:t>Disability Employment Initiative (DEI) Round 8 OSOS Guide</w:t>
        </w:r>
      </w:hyperlink>
    </w:p>
    <w:p w14:paraId="39C3BD50" w14:textId="77777777" w:rsidR="003F3E87" w:rsidRPr="00355105" w:rsidRDefault="00F61E66" w:rsidP="00355105">
      <w:pPr>
        <w:numPr>
          <w:ilvl w:val="0"/>
          <w:numId w:val="6"/>
        </w:numPr>
        <w:spacing w:after="120" w:line="240" w:lineRule="auto"/>
        <w:rPr>
          <w:rFonts w:eastAsia="Calibri" w:cs="Arial"/>
          <w:color w:val="0000FF"/>
          <w:sz w:val="24"/>
          <w:szCs w:val="24"/>
        </w:rPr>
      </w:pPr>
      <w:hyperlink r:id="rId35" w:history="1">
        <w:r w:rsidR="00325753" w:rsidRPr="00915C09">
          <w:rPr>
            <w:rStyle w:val="Hyperlink"/>
            <w:rFonts w:eastAsia="Calibri" w:cs="Arial"/>
            <w:color w:val="0000FF"/>
            <w:sz w:val="24"/>
            <w:szCs w:val="24"/>
          </w:rPr>
          <w:t>WIOA Performance Measures and Outcomes Guide</w:t>
        </w:r>
      </w:hyperlink>
    </w:p>
    <w:p w14:paraId="25427244" w14:textId="77777777" w:rsidR="006870DA" w:rsidRPr="00355105" w:rsidRDefault="00F61E66" w:rsidP="00355105">
      <w:pPr>
        <w:numPr>
          <w:ilvl w:val="0"/>
          <w:numId w:val="6"/>
        </w:numPr>
        <w:spacing w:after="120" w:line="240" w:lineRule="auto"/>
        <w:rPr>
          <w:rFonts w:eastAsia="Calibri" w:cs="Arial"/>
          <w:sz w:val="24"/>
          <w:szCs w:val="24"/>
        </w:rPr>
      </w:pPr>
      <w:hyperlink r:id="rId36" w:history="1">
        <w:r w:rsidR="006870DA" w:rsidRPr="00915C09">
          <w:rPr>
            <w:rFonts w:eastAsia="Calibri" w:cs="Arial"/>
            <w:color w:val="0000FF"/>
            <w:sz w:val="24"/>
            <w:szCs w:val="24"/>
            <w:u w:val="single"/>
          </w:rPr>
          <w:t>OSOS Service Categories and Types</w:t>
        </w:r>
      </w:hyperlink>
    </w:p>
    <w:p w14:paraId="01266A22" w14:textId="77777777" w:rsidR="006870DA" w:rsidRPr="00355105" w:rsidRDefault="00F61E66" w:rsidP="00355105">
      <w:pPr>
        <w:numPr>
          <w:ilvl w:val="0"/>
          <w:numId w:val="6"/>
        </w:numPr>
        <w:spacing w:after="120" w:line="240" w:lineRule="auto"/>
        <w:rPr>
          <w:rFonts w:eastAsia="Calibri" w:cs="Arial"/>
          <w:sz w:val="24"/>
          <w:szCs w:val="24"/>
        </w:rPr>
      </w:pPr>
      <w:hyperlink r:id="rId37" w:history="1">
        <w:r w:rsidR="006870DA" w:rsidRPr="00915C09">
          <w:rPr>
            <w:rFonts w:eastAsia="Calibri" w:cs="Arial"/>
            <w:color w:val="0000FF"/>
            <w:sz w:val="24"/>
            <w:szCs w:val="24"/>
            <w:u w:val="single"/>
          </w:rPr>
          <w:t>Youth Programs: OSOS Data Entry Eligibility Guide</w:t>
        </w:r>
      </w:hyperlink>
      <w:r w:rsidR="006870DA" w:rsidRPr="00915C09">
        <w:rPr>
          <w:rFonts w:eastAsia="Calibri" w:cs="Arial"/>
          <w:sz w:val="24"/>
          <w:szCs w:val="24"/>
        </w:rPr>
        <w:t xml:space="preserve"> (2018)</w:t>
      </w:r>
    </w:p>
    <w:p w14:paraId="39C23C25" w14:textId="77777777" w:rsidR="006870DA" w:rsidRPr="00355105" w:rsidRDefault="00F61E66" w:rsidP="00355105">
      <w:pPr>
        <w:numPr>
          <w:ilvl w:val="0"/>
          <w:numId w:val="6"/>
        </w:numPr>
        <w:spacing w:after="120" w:line="240" w:lineRule="auto"/>
        <w:rPr>
          <w:rFonts w:eastAsia="Calibri" w:cs="Arial"/>
          <w:sz w:val="24"/>
          <w:szCs w:val="24"/>
        </w:rPr>
      </w:pPr>
      <w:hyperlink r:id="rId38" w:history="1">
        <w:r w:rsidR="006870DA" w:rsidRPr="00915C09">
          <w:rPr>
            <w:rFonts w:eastAsia="Calibri" w:cs="Arial"/>
            <w:color w:val="0000FF"/>
            <w:sz w:val="24"/>
            <w:szCs w:val="24"/>
            <w:u w:val="single"/>
          </w:rPr>
          <w:t>Attainment of Degree or Certification OSOS Guide</w:t>
        </w:r>
      </w:hyperlink>
    </w:p>
    <w:p w14:paraId="6B8A2E35" w14:textId="77777777" w:rsidR="006870DA" w:rsidRPr="00915C09" w:rsidRDefault="00F61E66" w:rsidP="00355105">
      <w:pPr>
        <w:numPr>
          <w:ilvl w:val="0"/>
          <w:numId w:val="6"/>
        </w:numPr>
        <w:spacing w:after="120" w:line="240" w:lineRule="auto"/>
        <w:rPr>
          <w:rFonts w:eastAsia="Calibri" w:cs="Arial"/>
          <w:sz w:val="24"/>
          <w:szCs w:val="24"/>
        </w:rPr>
      </w:pPr>
      <w:hyperlink r:id="rId39" w:history="1">
        <w:r w:rsidR="006870DA" w:rsidRPr="00915C09">
          <w:rPr>
            <w:rFonts w:eastAsia="Calibri" w:cs="Arial"/>
            <w:color w:val="0000FF"/>
            <w:sz w:val="24"/>
            <w:szCs w:val="24"/>
            <w:u w:val="single"/>
          </w:rPr>
          <w:t>Placement in Employment or Education OSOS Guide</w:t>
        </w:r>
      </w:hyperlink>
    </w:p>
    <w:p w14:paraId="2F1B9999" w14:textId="77777777" w:rsidR="006870DA" w:rsidRPr="00915C09" w:rsidRDefault="006870DA" w:rsidP="006870DA">
      <w:pPr>
        <w:spacing w:after="0" w:line="240" w:lineRule="auto"/>
        <w:ind w:left="720"/>
        <w:contextualSpacing/>
        <w:rPr>
          <w:rFonts w:eastAsia="Calibri" w:cs="Arial"/>
          <w:sz w:val="24"/>
          <w:szCs w:val="24"/>
        </w:rPr>
      </w:pPr>
    </w:p>
    <w:p w14:paraId="50E03D40" w14:textId="77777777" w:rsidR="006870DA" w:rsidRPr="00915C09" w:rsidRDefault="006870DA" w:rsidP="006870DA">
      <w:pPr>
        <w:spacing w:after="0"/>
        <w:rPr>
          <w:rFonts w:eastAsia="Calibri" w:cs="Arial"/>
          <w:b/>
          <w:sz w:val="24"/>
          <w:szCs w:val="24"/>
        </w:rPr>
      </w:pPr>
      <w:r w:rsidRPr="00915C09">
        <w:rPr>
          <w:rFonts w:eastAsia="Calibri" w:cs="Arial"/>
          <w:b/>
          <w:sz w:val="24"/>
          <w:szCs w:val="24"/>
        </w:rPr>
        <w:t>NYESS/OSOS How-to Guides</w:t>
      </w:r>
    </w:p>
    <w:p w14:paraId="459AA2B5" w14:textId="77777777" w:rsidR="006870DA" w:rsidRPr="00915C09" w:rsidRDefault="006870DA" w:rsidP="006870DA">
      <w:pPr>
        <w:spacing w:after="0"/>
        <w:rPr>
          <w:rFonts w:eastAsia="Calibri" w:cs="Arial"/>
          <w:b/>
          <w:sz w:val="24"/>
          <w:szCs w:val="24"/>
        </w:rPr>
      </w:pPr>
    </w:p>
    <w:p w14:paraId="5860C727" w14:textId="77777777" w:rsidR="006870DA" w:rsidRPr="00915C09" w:rsidRDefault="00F61E66" w:rsidP="006870DA">
      <w:pPr>
        <w:numPr>
          <w:ilvl w:val="0"/>
          <w:numId w:val="6"/>
        </w:numPr>
        <w:spacing w:after="0" w:line="240" w:lineRule="auto"/>
        <w:contextualSpacing/>
        <w:rPr>
          <w:rFonts w:eastAsia="Calibri" w:cs="Arial"/>
          <w:sz w:val="24"/>
          <w:szCs w:val="24"/>
        </w:rPr>
      </w:pPr>
      <w:hyperlink r:id="rId40" w:history="1">
        <w:r w:rsidR="006870DA" w:rsidRPr="00915C09">
          <w:rPr>
            <w:rFonts w:eastAsia="Calibri" w:cs="Arial"/>
            <w:color w:val="0000FF"/>
            <w:sz w:val="24"/>
            <w:szCs w:val="24"/>
            <w:u w:val="single"/>
          </w:rPr>
          <w:t>Comprehensive Assessment OSOS Guide</w:t>
        </w:r>
      </w:hyperlink>
      <w:r w:rsidR="006870DA" w:rsidRPr="00915C09">
        <w:rPr>
          <w:rFonts w:eastAsia="Calibri" w:cs="Arial"/>
          <w:sz w:val="24"/>
          <w:szCs w:val="24"/>
        </w:rPr>
        <w:t xml:space="preserve"> (2017)</w:t>
      </w:r>
    </w:p>
    <w:p w14:paraId="13C5155D" w14:textId="77777777" w:rsidR="006870DA" w:rsidRPr="00915C09" w:rsidRDefault="006870DA" w:rsidP="006870DA">
      <w:pPr>
        <w:spacing w:after="0" w:line="240" w:lineRule="auto"/>
        <w:ind w:left="720"/>
        <w:contextualSpacing/>
        <w:rPr>
          <w:rFonts w:eastAsia="Calibri" w:cs="Arial"/>
          <w:sz w:val="24"/>
          <w:szCs w:val="24"/>
        </w:rPr>
      </w:pPr>
    </w:p>
    <w:p w14:paraId="0AD13D5F" w14:textId="77777777" w:rsidR="006870DA" w:rsidRPr="00915C09" w:rsidRDefault="006870DA" w:rsidP="006870DA">
      <w:pPr>
        <w:spacing w:after="0" w:line="240" w:lineRule="auto"/>
        <w:rPr>
          <w:rFonts w:eastAsia="Calibri" w:cs="Arial"/>
          <w:sz w:val="24"/>
          <w:szCs w:val="24"/>
        </w:rPr>
      </w:pPr>
      <w:r w:rsidRPr="00915C09">
        <w:rPr>
          <w:rFonts w:eastAsia="Calibri" w:cs="Arial"/>
          <w:b/>
          <w:sz w:val="24"/>
          <w:szCs w:val="24"/>
        </w:rPr>
        <w:t>Technical Advisories</w:t>
      </w:r>
      <w:r w:rsidRPr="00915C09">
        <w:rPr>
          <w:rFonts w:eastAsia="Calibri" w:cs="Arial"/>
          <w:sz w:val="24"/>
          <w:szCs w:val="24"/>
        </w:rPr>
        <w:t xml:space="preserve"> (TA)</w:t>
      </w:r>
    </w:p>
    <w:p w14:paraId="182C1BEA" w14:textId="77777777" w:rsidR="006870DA" w:rsidRPr="00915C09" w:rsidRDefault="006870DA" w:rsidP="006870DA">
      <w:pPr>
        <w:spacing w:after="0" w:line="240" w:lineRule="auto"/>
        <w:rPr>
          <w:rFonts w:eastAsia="Calibri" w:cs="Arial"/>
          <w:b/>
          <w:sz w:val="24"/>
          <w:szCs w:val="24"/>
        </w:rPr>
      </w:pPr>
    </w:p>
    <w:p w14:paraId="6F378E89" w14:textId="77777777" w:rsidR="006870DA" w:rsidRDefault="00F61E66" w:rsidP="006870DA">
      <w:pPr>
        <w:numPr>
          <w:ilvl w:val="0"/>
          <w:numId w:val="6"/>
        </w:numPr>
        <w:spacing w:after="0" w:line="240" w:lineRule="auto"/>
        <w:contextualSpacing/>
        <w:rPr>
          <w:rFonts w:eastAsia="Calibri" w:cs="Arial"/>
          <w:sz w:val="24"/>
          <w:szCs w:val="24"/>
        </w:rPr>
      </w:pPr>
      <w:hyperlink r:id="rId41" w:history="1">
        <w:r w:rsidR="006870DA" w:rsidRPr="00915C09">
          <w:rPr>
            <w:rFonts w:eastAsia="Calibri" w:cs="Arial"/>
            <w:color w:val="0000FF"/>
            <w:sz w:val="24"/>
            <w:szCs w:val="24"/>
            <w:u w:val="single"/>
          </w:rPr>
          <w:t>TA 16-2</w:t>
        </w:r>
      </w:hyperlink>
      <w:r w:rsidR="006870DA" w:rsidRPr="00915C09">
        <w:rPr>
          <w:rFonts w:eastAsia="Calibri" w:cs="Arial"/>
          <w:sz w:val="24"/>
          <w:szCs w:val="24"/>
        </w:rPr>
        <w:t xml:space="preserve"> Retention of Records by Local Workforce Development Boards</w:t>
      </w:r>
    </w:p>
    <w:p w14:paraId="41641641" w14:textId="77777777" w:rsidR="0058097B" w:rsidRDefault="0058097B" w:rsidP="0058097B">
      <w:pPr>
        <w:spacing w:after="0" w:line="240" w:lineRule="auto"/>
        <w:ind w:left="720"/>
        <w:contextualSpacing/>
        <w:rPr>
          <w:rFonts w:eastAsia="Calibri" w:cs="Arial"/>
          <w:sz w:val="24"/>
          <w:szCs w:val="24"/>
        </w:rPr>
      </w:pPr>
    </w:p>
    <w:p w14:paraId="37B69873" w14:textId="77777777" w:rsidR="0058097B" w:rsidRPr="0058097B" w:rsidRDefault="00F61E66" w:rsidP="006870DA">
      <w:pPr>
        <w:numPr>
          <w:ilvl w:val="0"/>
          <w:numId w:val="6"/>
        </w:numPr>
        <w:spacing w:after="0" w:line="240" w:lineRule="auto"/>
        <w:contextualSpacing/>
        <w:rPr>
          <w:rFonts w:eastAsia="Calibri" w:cs="Arial"/>
          <w:color w:val="0000FF"/>
          <w:sz w:val="24"/>
          <w:szCs w:val="24"/>
        </w:rPr>
      </w:pPr>
      <w:hyperlink r:id="rId42" w:history="1">
        <w:r w:rsidR="0058097B" w:rsidRPr="0058097B">
          <w:rPr>
            <w:rStyle w:val="Hyperlink"/>
            <w:rFonts w:eastAsia="Calibri" w:cs="Arial"/>
            <w:color w:val="0000FF"/>
            <w:sz w:val="24"/>
            <w:szCs w:val="24"/>
          </w:rPr>
          <w:t>TA-18-5</w:t>
        </w:r>
      </w:hyperlink>
      <w:r w:rsidR="0058097B" w:rsidRPr="0058097B">
        <w:rPr>
          <w:rFonts w:eastAsia="Calibri" w:cs="Arial"/>
          <w:color w:val="0000FF"/>
          <w:sz w:val="24"/>
          <w:szCs w:val="24"/>
        </w:rPr>
        <w:t xml:space="preserve"> </w:t>
      </w:r>
      <w:r w:rsidR="0058097B" w:rsidRPr="0058097B">
        <w:rPr>
          <w:rFonts w:eastAsia="Calibri" w:cs="Arial"/>
          <w:sz w:val="24"/>
          <w:szCs w:val="24"/>
        </w:rPr>
        <w:t>Securing and protecting Personally Identifiable Information (PII) and Personal, Private and Sensitive Information (PPSI) within the New York State Workforce Development System</w:t>
      </w:r>
    </w:p>
    <w:p w14:paraId="73034FA3" w14:textId="77777777" w:rsidR="006870DA" w:rsidRPr="00915C09" w:rsidRDefault="006870DA" w:rsidP="006870DA">
      <w:pPr>
        <w:spacing w:after="0" w:line="240" w:lineRule="auto"/>
        <w:ind w:left="360"/>
        <w:rPr>
          <w:rFonts w:eastAsia="Calibri" w:cs="Arial"/>
          <w:sz w:val="24"/>
          <w:szCs w:val="24"/>
        </w:rPr>
      </w:pPr>
    </w:p>
    <w:p w14:paraId="61131494" w14:textId="77777777" w:rsidR="006870DA" w:rsidRPr="00915C09" w:rsidRDefault="00F61E66" w:rsidP="006870DA">
      <w:pPr>
        <w:numPr>
          <w:ilvl w:val="0"/>
          <w:numId w:val="7"/>
        </w:numPr>
        <w:autoSpaceDE w:val="0"/>
        <w:autoSpaceDN w:val="0"/>
        <w:adjustRightInd w:val="0"/>
        <w:spacing w:after="0" w:line="240" w:lineRule="auto"/>
        <w:rPr>
          <w:rFonts w:eastAsia="Calibri" w:cs="Arial"/>
          <w:color w:val="000000"/>
          <w:sz w:val="24"/>
          <w:szCs w:val="24"/>
        </w:rPr>
      </w:pPr>
      <w:hyperlink r:id="rId43" w:history="1">
        <w:r w:rsidR="006870DA" w:rsidRPr="00915C09">
          <w:rPr>
            <w:rFonts w:eastAsia="Calibri" w:cs="Arial"/>
            <w:color w:val="0000FF"/>
            <w:sz w:val="24"/>
            <w:szCs w:val="24"/>
            <w:u w:val="single"/>
          </w:rPr>
          <w:t>TA 16-1</w:t>
        </w:r>
      </w:hyperlink>
      <w:r w:rsidR="006870DA" w:rsidRPr="00915C09">
        <w:rPr>
          <w:rFonts w:eastAsia="Calibri" w:cs="Arial"/>
          <w:color w:val="000000"/>
          <w:sz w:val="24"/>
          <w:szCs w:val="24"/>
        </w:rPr>
        <w:t xml:space="preserve"> Poverty Guidelines (Current tables can be found on the NYSDOL website under </w:t>
      </w:r>
      <w:r w:rsidR="006870DA" w:rsidRPr="00915C09">
        <w:rPr>
          <w:rFonts w:eastAsia="Calibri" w:cs="Arial"/>
          <w:i/>
          <w:color w:val="000000"/>
          <w:sz w:val="24"/>
          <w:szCs w:val="24"/>
        </w:rPr>
        <w:t>Income Eligibility Guidelines</w:t>
      </w:r>
      <w:r w:rsidR="006870DA" w:rsidRPr="00915C09">
        <w:rPr>
          <w:rFonts w:eastAsia="Calibri" w:cs="Arial"/>
          <w:color w:val="000000"/>
          <w:sz w:val="24"/>
          <w:szCs w:val="24"/>
        </w:rPr>
        <w:t xml:space="preserve"> on the </w:t>
      </w:r>
      <w:hyperlink r:id="rId44" w:history="1">
        <w:r w:rsidR="006870DA" w:rsidRPr="00915C09">
          <w:rPr>
            <w:rFonts w:eastAsia="Calibri" w:cs="Arial"/>
            <w:color w:val="0000FF"/>
            <w:sz w:val="24"/>
            <w:szCs w:val="24"/>
            <w:u w:val="single"/>
          </w:rPr>
          <w:t>Programs and Tools page</w:t>
        </w:r>
      </w:hyperlink>
      <w:r w:rsidR="006870DA" w:rsidRPr="00915C09">
        <w:rPr>
          <w:rFonts w:eastAsia="Calibri" w:cs="Arial"/>
          <w:color w:val="000000"/>
          <w:sz w:val="24"/>
          <w:szCs w:val="24"/>
        </w:rPr>
        <w:t>.)</w:t>
      </w:r>
    </w:p>
    <w:p w14:paraId="34094F0D" w14:textId="77777777" w:rsidR="006870DA" w:rsidRPr="00915C09" w:rsidRDefault="00F61E66" w:rsidP="006870DA">
      <w:pPr>
        <w:numPr>
          <w:ilvl w:val="1"/>
          <w:numId w:val="6"/>
        </w:numPr>
        <w:spacing w:after="0" w:line="240" w:lineRule="auto"/>
        <w:contextualSpacing/>
        <w:rPr>
          <w:rFonts w:eastAsia="Calibri" w:cs="Arial"/>
          <w:sz w:val="24"/>
          <w:szCs w:val="24"/>
        </w:rPr>
      </w:pPr>
      <w:hyperlink r:id="rId45" w:history="1">
        <w:r w:rsidR="006870DA" w:rsidRPr="00915C09">
          <w:rPr>
            <w:rFonts w:eastAsia="Calibri" w:cs="Arial"/>
            <w:color w:val="0000FF"/>
            <w:sz w:val="24"/>
            <w:szCs w:val="24"/>
            <w:u w:val="single"/>
          </w:rPr>
          <w:t>LLSIL Guidelines 2017 by County</w:t>
        </w:r>
      </w:hyperlink>
    </w:p>
    <w:p w14:paraId="642A8508" w14:textId="77777777" w:rsidR="006870DA" w:rsidRPr="00915C09" w:rsidRDefault="00F61E66" w:rsidP="006870DA">
      <w:pPr>
        <w:numPr>
          <w:ilvl w:val="1"/>
          <w:numId w:val="6"/>
        </w:numPr>
        <w:spacing w:after="0" w:line="240" w:lineRule="auto"/>
        <w:contextualSpacing/>
        <w:rPr>
          <w:rFonts w:eastAsia="Calibri" w:cs="Arial"/>
          <w:sz w:val="24"/>
          <w:szCs w:val="24"/>
        </w:rPr>
      </w:pPr>
      <w:hyperlink r:id="rId46" w:history="1">
        <w:r w:rsidR="006870DA" w:rsidRPr="00915C09">
          <w:rPr>
            <w:rFonts w:eastAsia="Calibri" w:cs="Arial"/>
            <w:color w:val="0000FF"/>
            <w:sz w:val="24"/>
            <w:szCs w:val="24"/>
            <w:u w:val="single"/>
          </w:rPr>
          <w:t>LLSIL Guidelines 2017 by LWDA</w:t>
        </w:r>
      </w:hyperlink>
    </w:p>
    <w:p w14:paraId="4E3E5F8B" w14:textId="77777777" w:rsidR="006870DA" w:rsidRPr="00915C09" w:rsidRDefault="00F61E66" w:rsidP="006870DA">
      <w:pPr>
        <w:numPr>
          <w:ilvl w:val="1"/>
          <w:numId w:val="6"/>
        </w:numPr>
        <w:spacing w:after="0" w:line="240" w:lineRule="auto"/>
        <w:contextualSpacing/>
        <w:rPr>
          <w:rFonts w:eastAsia="Calibri" w:cs="Arial"/>
          <w:sz w:val="24"/>
          <w:szCs w:val="24"/>
        </w:rPr>
      </w:pPr>
      <w:hyperlink r:id="rId47" w:history="1">
        <w:r w:rsidR="006870DA" w:rsidRPr="00915C09">
          <w:rPr>
            <w:rFonts w:eastAsia="Calibri" w:cs="Arial"/>
            <w:color w:val="0000FF"/>
            <w:sz w:val="24"/>
            <w:szCs w:val="24"/>
            <w:u w:val="single"/>
          </w:rPr>
          <w:t>Poverty Guidelines 2018</w:t>
        </w:r>
      </w:hyperlink>
    </w:p>
    <w:p w14:paraId="49E436F4" w14:textId="77777777" w:rsidR="006870DA" w:rsidRPr="00915C09" w:rsidRDefault="006870DA" w:rsidP="006870DA">
      <w:pPr>
        <w:spacing w:after="0" w:line="240" w:lineRule="auto"/>
        <w:ind w:left="1440"/>
        <w:contextualSpacing/>
        <w:rPr>
          <w:rFonts w:eastAsia="Calibri" w:cs="Arial"/>
          <w:sz w:val="24"/>
          <w:szCs w:val="24"/>
        </w:rPr>
      </w:pPr>
    </w:p>
    <w:p w14:paraId="531D1837" w14:textId="77777777" w:rsidR="006870DA" w:rsidRPr="00915C09" w:rsidRDefault="00F61E66" w:rsidP="006870DA">
      <w:pPr>
        <w:numPr>
          <w:ilvl w:val="0"/>
          <w:numId w:val="6"/>
        </w:numPr>
        <w:spacing w:after="0" w:line="240" w:lineRule="auto"/>
        <w:contextualSpacing/>
        <w:rPr>
          <w:rFonts w:eastAsia="Calibri" w:cs="Arial"/>
          <w:sz w:val="24"/>
          <w:szCs w:val="24"/>
        </w:rPr>
      </w:pPr>
      <w:hyperlink r:id="rId48" w:history="1">
        <w:r w:rsidR="006870DA" w:rsidRPr="00915C09">
          <w:rPr>
            <w:rFonts w:eastAsia="Calibri" w:cs="Arial"/>
            <w:color w:val="0000FF"/>
            <w:sz w:val="24"/>
            <w:szCs w:val="24"/>
            <w:u w:val="single"/>
          </w:rPr>
          <w:t>TA 12-9.1</w:t>
        </w:r>
      </w:hyperlink>
      <w:r w:rsidR="006870DA" w:rsidRPr="00915C09">
        <w:rPr>
          <w:rFonts w:eastAsia="Calibri" w:cs="Arial"/>
          <w:sz w:val="24"/>
          <w:szCs w:val="24"/>
        </w:rPr>
        <w:t xml:space="preserve"> Selective Service Registration Requirements under WIOA</w:t>
      </w:r>
    </w:p>
    <w:p w14:paraId="1E36CD33" w14:textId="77777777" w:rsidR="006870DA" w:rsidRPr="00915C09" w:rsidRDefault="00F61E66" w:rsidP="006870DA">
      <w:pPr>
        <w:numPr>
          <w:ilvl w:val="1"/>
          <w:numId w:val="6"/>
        </w:numPr>
        <w:spacing w:after="0" w:line="240" w:lineRule="auto"/>
        <w:contextualSpacing/>
        <w:rPr>
          <w:rFonts w:eastAsia="Calibri" w:cs="Arial"/>
          <w:sz w:val="24"/>
          <w:szCs w:val="24"/>
        </w:rPr>
      </w:pPr>
      <w:hyperlink r:id="rId49" w:history="1">
        <w:r w:rsidR="006870DA" w:rsidRPr="00915C09">
          <w:rPr>
            <w:rFonts w:eastAsia="Calibri" w:cs="Arial"/>
            <w:color w:val="0000FF"/>
            <w:sz w:val="24"/>
            <w:szCs w:val="24"/>
            <w:u w:val="single"/>
          </w:rPr>
          <w:t>Selective Service System</w:t>
        </w:r>
      </w:hyperlink>
      <w:r w:rsidR="006870DA" w:rsidRPr="00915C09">
        <w:rPr>
          <w:rFonts w:eastAsia="Calibri" w:cs="Arial"/>
          <w:sz w:val="24"/>
          <w:szCs w:val="24"/>
        </w:rPr>
        <w:t xml:space="preserve"> – Registration Verification</w:t>
      </w:r>
    </w:p>
    <w:p w14:paraId="376AE17D" w14:textId="77777777" w:rsidR="006870DA" w:rsidRPr="00915C09" w:rsidRDefault="006870DA" w:rsidP="006870DA">
      <w:pPr>
        <w:spacing w:after="0" w:line="240" w:lineRule="auto"/>
        <w:ind w:left="720"/>
        <w:contextualSpacing/>
        <w:rPr>
          <w:rFonts w:eastAsia="Calibri" w:cs="Arial"/>
          <w:sz w:val="24"/>
          <w:szCs w:val="24"/>
        </w:rPr>
      </w:pPr>
    </w:p>
    <w:p w14:paraId="1A594896" w14:textId="77777777" w:rsidR="006870DA" w:rsidRPr="00915C09" w:rsidRDefault="00F61E66" w:rsidP="006870DA">
      <w:pPr>
        <w:numPr>
          <w:ilvl w:val="0"/>
          <w:numId w:val="6"/>
        </w:numPr>
        <w:spacing w:after="0" w:line="240" w:lineRule="auto"/>
        <w:contextualSpacing/>
        <w:rPr>
          <w:rFonts w:eastAsia="Calibri" w:cs="Arial"/>
          <w:sz w:val="24"/>
          <w:szCs w:val="24"/>
        </w:rPr>
      </w:pPr>
      <w:hyperlink r:id="rId50" w:history="1">
        <w:r w:rsidR="006870DA" w:rsidRPr="00915C09">
          <w:rPr>
            <w:rFonts w:eastAsia="Calibri" w:cs="Arial"/>
            <w:color w:val="0000FF"/>
            <w:sz w:val="24"/>
            <w:szCs w:val="24"/>
            <w:u w:val="single"/>
          </w:rPr>
          <w:t>TA 09-2.1</w:t>
        </w:r>
      </w:hyperlink>
      <w:r w:rsidR="006870DA" w:rsidRPr="00915C09">
        <w:rPr>
          <w:rFonts w:eastAsia="Calibri" w:cs="Arial"/>
          <w:sz w:val="24"/>
          <w:szCs w:val="24"/>
        </w:rPr>
        <w:t xml:space="preserve"> Individual Training Account (ITA) Approval Policy</w:t>
      </w:r>
    </w:p>
    <w:p w14:paraId="6E42639A" w14:textId="77777777" w:rsidR="006870DA" w:rsidRPr="00915C09" w:rsidRDefault="006870DA" w:rsidP="006870DA">
      <w:pPr>
        <w:spacing w:after="0" w:line="240" w:lineRule="auto"/>
        <w:ind w:left="720"/>
        <w:contextualSpacing/>
        <w:rPr>
          <w:rFonts w:eastAsia="Calibri" w:cs="Arial"/>
          <w:sz w:val="24"/>
          <w:szCs w:val="24"/>
        </w:rPr>
      </w:pPr>
    </w:p>
    <w:p w14:paraId="03F4053B" w14:textId="77777777" w:rsidR="006870DA" w:rsidRPr="00915C09" w:rsidRDefault="00F61E66" w:rsidP="006870DA">
      <w:pPr>
        <w:numPr>
          <w:ilvl w:val="0"/>
          <w:numId w:val="6"/>
        </w:numPr>
        <w:spacing w:after="0" w:line="240" w:lineRule="auto"/>
        <w:contextualSpacing/>
        <w:rPr>
          <w:rFonts w:eastAsia="Calibri" w:cs="Arial"/>
          <w:sz w:val="24"/>
          <w:szCs w:val="24"/>
        </w:rPr>
      </w:pPr>
      <w:hyperlink r:id="rId51" w:history="1">
        <w:r w:rsidR="006870DA" w:rsidRPr="00915C09">
          <w:rPr>
            <w:rFonts w:eastAsia="Calibri" w:cs="Arial"/>
            <w:color w:val="0000FF"/>
            <w:sz w:val="24"/>
            <w:szCs w:val="24"/>
            <w:u w:val="single"/>
          </w:rPr>
          <w:t>TA 11-12.2</w:t>
        </w:r>
      </w:hyperlink>
      <w:r w:rsidR="006870DA" w:rsidRPr="00915C09">
        <w:rPr>
          <w:rFonts w:eastAsia="Calibri" w:cs="Arial"/>
          <w:sz w:val="24"/>
          <w:szCs w:val="24"/>
        </w:rPr>
        <w:t xml:space="preserve"> Data Element Validation for the WIA, Wagner-</w:t>
      </w:r>
      <w:proofErr w:type="spellStart"/>
      <w:r w:rsidR="006870DA" w:rsidRPr="00915C09">
        <w:rPr>
          <w:rFonts w:eastAsia="Calibri" w:cs="Arial"/>
          <w:sz w:val="24"/>
          <w:szCs w:val="24"/>
        </w:rPr>
        <w:t>Peyser</w:t>
      </w:r>
      <w:proofErr w:type="spellEnd"/>
      <w:r w:rsidR="006870DA" w:rsidRPr="00915C09">
        <w:rPr>
          <w:rFonts w:eastAsia="Calibri" w:cs="Arial"/>
          <w:sz w:val="24"/>
          <w:szCs w:val="24"/>
        </w:rPr>
        <w:t>, Veterans Employment and Training Service and TAA/TGAA Programs</w:t>
      </w:r>
    </w:p>
    <w:p w14:paraId="43796CB2" w14:textId="77777777" w:rsidR="006870DA" w:rsidRPr="00915C09" w:rsidRDefault="00F61E66" w:rsidP="006870DA">
      <w:pPr>
        <w:numPr>
          <w:ilvl w:val="1"/>
          <w:numId w:val="6"/>
        </w:numPr>
        <w:spacing w:after="0" w:line="240" w:lineRule="auto"/>
        <w:contextualSpacing/>
        <w:rPr>
          <w:rFonts w:eastAsia="Calibri" w:cs="Arial"/>
          <w:sz w:val="24"/>
          <w:szCs w:val="24"/>
        </w:rPr>
      </w:pPr>
      <w:hyperlink r:id="rId52" w:history="1">
        <w:r w:rsidR="006870DA" w:rsidRPr="00915C09">
          <w:rPr>
            <w:rFonts w:eastAsia="Calibri" w:cs="Arial"/>
            <w:color w:val="0000FF"/>
            <w:sz w:val="24"/>
            <w:szCs w:val="24"/>
            <w:u w:val="single"/>
          </w:rPr>
          <w:t>Attachment C</w:t>
        </w:r>
      </w:hyperlink>
      <w:r w:rsidR="006870DA" w:rsidRPr="00915C09">
        <w:rPr>
          <w:rFonts w:eastAsia="Calibri" w:cs="Arial"/>
          <w:sz w:val="24"/>
          <w:szCs w:val="24"/>
        </w:rPr>
        <w:t xml:space="preserve"> – WIA Youth Program Eligibility Handbook</w:t>
      </w:r>
    </w:p>
    <w:p w14:paraId="244BAE59" w14:textId="77777777" w:rsidR="00586A49" w:rsidRPr="00915C09" w:rsidRDefault="00F61E66" w:rsidP="00586A49">
      <w:pPr>
        <w:numPr>
          <w:ilvl w:val="1"/>
          <w:numId w:val="6"/>
        </w:numPr>
        <w:spacing w:after="0" w:line="240" w:lineRule="auto"/>
        <w:contextualSpacing/>
        <w:rPr>
          <w:rFonts w:eastAsia="Calibri" w:cs="Arial"/>
          <w:sz w:val="24"/>
          <w:szCs w:val="24"/>
        </w:rPr>
      </w:pPr>
      <w:hyperlink r:id="rId53" w:history="1">
        <w:r w:rsidR="006870DA" w:rsidRPr="00915C09">
          <w:rPr>
            <w:rFonts w:eastAsia="Calibri" w:cs="Arial"/>
            <w:color w:val="0000FF"/>
            <w:sz w:val="24"/>
            <w:szCs w:val="24"/>
            <w:u w:val="single"/>
          </w:rPr>
          <w:t>Attachment D</w:t>
        </w:r>
      </w:hyperlink>
      <w:r w:rsidR="006870DA" w:rsidRPr="00915C09">
        <w:rPr>
          <w:rFonts w:eastAsia="Calibri" w:cs="Arial"/>
          <w:sz w:val="24"/>
          <w:szCs w:val="24"/>
        </w:rPr>
        <w:t xml:space="preserve"> – Data Element Validation Handbook – WIA Youth Program</w:t>
      </w:r>
    </w:p>
    <w:p w14:paraId="066C6354" w14:textId="77777777" w:rsidR="006870DA" w:rsidRPr="00915C09" w:rsidRDefault="006870DA" w:rsidP="006870DA">
      <w:pPr>
        <w:spacing w:after="0" w:line="240" w:lineRule="auto"/>
        <w:ind w:left="1440"/>
        <w:contextualSpacing/>
        <w:rPr>
          <w:rFonts w:eastAsia="Calibri" w:cs="Arial"/>
          <w:sz w:val="24"/>
          <w:szCs w:val="24"/>
        </w:rPr>
      </w:pPr>
    </w:p>
    <w:p w14:paraId="072B3C93" w14:textId="77777777" w:rsidR="00586A49" w:rsidRPr="00915C09" w:rsidRDefault="00F61E66" w:rsidP="006870DA">
      <w:pPr>
        <w:numPr>
          <w:ilvl w:val="0"/>
          <w:numId w:val="6"/>
        </w:numPr>
        <w:spacing w:after="0" w:line="240" w:lineRule="auto"/>
        <w:contextualSpacing/>
        <w:rPr>
          <w:rFonts w:eastAsia="Calibri" w:cs="Arial"/>
          <w:sz w:val="24"/>
          <w:szCs w:val="24"/>
        </w:rPr>
      </w:pPr>
      <w:hyperlink r:id="rId54" w:history="1">
        <w:r w:rsidR="00586A49" w:rsidRPr="00915C09">
          <w:rPr>
            <w:rStyle w:val="Hyperlink"/>
            <w:rFonts w:eastAsia="Calibri" w:cs="Arial"/>
            <w:color w:val="0000FF"/>
            <w:sz w:val="24"/>
            <w:szCs w:val="24"/>
          </w:rPr>
          <w:t>TA 10-3.1</w:t>
        </w:r>
      </w:hyperlink>
      <w:r w:rsidR="00586A49" w:rsidRPr="00915C09">
        <w:rPr>
          <w:rFonts w:eastAsia="Calibri" w:cs="Arial"/>
          <w:sz w:val="24"/>
          <w:szCs w:val="24"/>
        </w:rPr>
        <w:t xml:space="preserve"> Requirements for the Collection of Additional Participant Demographic Information upon Receipt of Intensive or Training Services under Title I-B of the Workforce Investment Act of 1998</w:t>
      </w:r>
    </w:p>
    <w:p w14:paraId="20BF8994" w14:textId="77777777" w:rsidR="00037CAC" w:rsidRPr="00915C09" w:rsidRDefault="00037CAC" w:rsidP="00037CAC">
      <w:pPr>
        <w:spacing w:after="0" w:line="240" w:lineRule="auto"/>
        <w:ind w:left="720"/>
        <w:contextualSpacing/>
        <w:rPr>
          <w:rFonts w:eastAsia="Calibri" w:cs="Arial"/>
          <w:sz w:val="24"/>
          <w:szCs w:val="24"/>
        </w:rPr>
      </w:pPr>
    </w:p>
    <w:p w14:paraId="6F0DB2C0" w14:textId="77777777" w:rsidR="006870DA" w:rsidRPr="00915C09" w:rsidRDefault="00F61E66" w:rsidP="006870DA">
      <w:pPr>
        <w:numPr>
          <w:ilvl w:val="0"/>
          <w:numId w:val="6"/>
        </w:numPr>
        <w:spacing w:after="0" w:line="240" w:lineRule="auto"/>
        <w:contextualSpacing/>
        <w:rPr>
          <w:rFonts w:eastAsia="Calibri" w:cs="Arial"/>
          <w:sz w:val="24"/>
          <w:szCs w:val="24"/>
        </w:rPr>
      </w:pPr>
      <w:hyperlink r:id="rId55" w:history="1">
        <w:r w:rsidR="006870DA" w:rsidRPr="00915C09">
          <w:rPr>
            <w:rFonts w:eastAsia="Calibri" w:cs="Arial"/>
            <w:color w:val="0000FF"/>
            <w:sz w:val="24"/>
            <w:szCs w:val="24"/>
            <w:u w:val="single"/>
          </w:rPr>
          <w:t>TA 14-10</w:t>
        </w:r>
      </w:hyperlink>
      <w:r w:rsidR="006870DA" w:rsidRPr="00915C09">
        <w:rPr>
          <w:rFonts w:eastAsia="Calibri" w:cs="Arial"/>
          <w:sz w:val="24"/>
          <w:szCs w:val="24"/>
        </w:rPr>
        <w:t xml:space="preserve"> Memorandums of Understanding and Other Related Agreements </w:t>
      </w:r>
    </w:p>
    <w:p w14:paraId="7B8F7498" w14:textId="77777777" w:rsidR="006870DA" w:rsidRPr="00915C09" w:rsidRDefault="006870DA" w:rsidP="006870DA">
      <w:pPr>
        <w:spacing w:after="0" w:line="240" w:lineRule="auto"/>
        <w:ind w:left="720"/>
        <w:contextualSpacing/>
        <w:rPr>
          <w:rFonts w:eastAsia="Calibri" w:cs="Arial"/>
          <w:sz w:val="24"/>
          <w:szCs w:val="24"/>
        </w:rPr>
      </w:pPr>
    </w:p>
    <w:p w14:paraId="4978ED5E" w14:textId="77777777" w:rsidR="006870DA" w:rsidRPr="00915C09" w:rsidRDefault="00F61E66" w:rsidP="006870DA">
      <w:pPr>
        <w:numPr>
          <w:ilvl w:val="0"/>
          <w:numId w:val="6"/>
        </w:numPr>
        <w:spacing w:after="0" w:line="240" w:lineRule="auto"/>
        <w:contextualSpacing/>
        <w:rPr>
          <w:rFonts w:eastAsia="Calibri" w:cs="Arial"/>
          <w:sz w:val="24"/>
          <w:szCs w:val="24"/>
        </w:rPr>
      </w:pPr>
      <w:hyperlink r:id="rId56" w:history="1">
        <w:r w:rsidR="006870DA" w:rsidRPr="00915C09">
          <w:rPr>
            <w:rFonts w:eastAsia="Calibri" w:cs="Arial"/>
            <w:color w:val="0000FF"/>
            <w:sz w:val="24"/>
            <w:szCs w:val="24"/>
            <w:u w:val="single"/>
          </w:rPr>
          <w:t>TA 06-16.2</w:t>
        </w:r>
      </w:hyperlink>
      <w:r w:rsidR="006870DA" w:rsidRPr="00915C09">
        <w:rPr>
          <w:rFonts w:eastAsia="Calibri" w:cs="Arial"/>
          <w:sz w:val="24"/>
          <w:szCs w:val="24"/>
        </w:rPr>
        <w:t xml:space="preserve"> L1 and L2 Service Definitions and Data Entry Procedures</w:t>
      </w:r>
    </w:p>
    <w:p w14:paraId="3F371C9E" w14:textId="77777777" w:rsidR="006870DA" w:rsidRPr="00915C09" w:rsidRDefault="00F61E66" w:rsidP="006870DA">
      <w:pPr>
        <w:numPr>
          <w:ilvl w:val="1"/>
          <w:numId w:val="6"/>
        </w:numPr>
        <w:spacing w:after="0" w:line="240" w:lineRule="auto"/>
        <w:contextualSpacing/>
        <w:rPr>
          <w:rFonts w:eastAsia="Calibri" w:cs="Arial"/>
          <w:sz w:val="24"/>
          <w:szCs w:val="24"/>
        </w:rPr>
      </w:pPr>
      <w:hyperlink r:id="rId57" w:history="1">
        <w:r w:rsidR="006870DA" w:rsidRPr="00915C09">
          <w:rPr>
            <w:rFonts w:eastAsia="Calibri" w:cs="Arial"/>
            <w:color w:val="0000FF"/>
            <w:sz w:val="24"/>
            <w:szCs w:val="24"/>
            <w:u w:val="single"/>
          </w:rPr>
          <w:t>Attachment 4</w:t>
        </w:r>
      </w:hyperlink>
      <w:r w:rsidR="006870DA" w:rsidRPr="00915C09">
        <w:rPr>
          <w:rFonts w:eastAsia="Calibri" w:cs="Arial"/>
          <w:sz w:val="24"/>
          <w:szCs w:val="24"/>
        </w:rPr>
        <w:t xml:space="preserve"> – Level 2 Service Definitions and Data Entry Procedures</w:t>
      </w:r>
    </w:p>
    <w:p w14:paraId="4051C1B3" w14:textId="77777777" w:rsidR="006870DA" w:rsidRPr="00915C09" w:rsidRDefault="006870DA" w:rsidP="006870DA">
      <w:pPr>
        <w:spacing w:after="0"/>
        <w:ind w:left="720"/>
        <w:contextualSpacing/>
        <w:rPr>
          <w:rFonts w:eastAsia="Calibri" w:cs="Arial"/>
          <w:sz w:val="24"/>
          <w:szCs w:val="24"/>
        </w:rPr>
      </w:pPr>
    </w:p>
    <w:p w14:paraId="1B80C3E0" w14:textId="77777777" w:rsidR="006870DA" w:rsidRPr="00915C09" w:rsidRDefault="00F61E66" w:rsidP="006870DA">
      <w:pPr>
        <w:numPr>
          <w:ilvl w:val="0"/>
          <w:numId w:val="6"/>
        </w:numPr>
        <w:spacing w:after="0" w:line="240" w:lineRule="auto"/>
        <w:contextualSpacing/>
        <w:rPr>
          <w:rFonts w:eastAsia="Calibri" w:cs="Arial"/>
          <w:sz w:val="24"/>
          <w:szCs w:val="24"/>
        </w:rPr>
      </w:pPr>
      <w:hyperlink r:id="rId58" w:history="1">
        <w:r w:rsidR="006870DA" w:rsidRPr="00915C09">
          <w:rPr>
            <w:rFonts w:eastAsia="Calibri" w:cs="Arial"/>
            <w:color w:val="0000FF"/>
            <w:sz w:val="24"/>
            <w:szCs w:val="24"/>
            <w:u w:val="single"/>
          </w:rPr>
          <w:t>TA 10-15.2</w:t>
        </w:r>
      </w:hyperlink>
      <w:r w:rsidR="006870DA" w:rsidRPr="00915C09">
        <w:rPr>
          <w:rFonts w:eastAsia="Calibri" w:cs="Arial"/>
          <w:sz w:val="24"/>
          <w:szCs w:val="24"/>
        </w:rPr>
        <w:t xml:space="preserve"> Updated Local Workforce Investment Area On-the-Job Training Policy</w:t>
      </w:r>
    </w:p>
    <w:p w14:paraId="35E725AB" w14:textId="77777777" w:rsidR="006870DA" w:rsidRPr="00915C09" w:rsidRDefault="006870DA" w:rsidP="006870DA">
      <w:pPr>
        <w:spacing w:after="0" w:line="240" w:lineRule="auto"/>
        <w:ind w:left="720"/>
        <w:contextualSpacing/>
        <w:rPr>
          <w:rFonts w:eastAsia="Calibri" w:cs="Arial"/>
          <w:sz w:val="24"/>
          <w:szCs w:val="24"/>
        </w:rPr>
      </w:pPr>
    </w:p>
    <w:p w14:paraId="7F9CDAEC" w14:textId="77777777" w:rsidR="006870DA" w:rsidRPr="00915C09" w:rsidRDefault="00F61E66" w:rsidP="006870DA">
      <w:pPr>
        <w:numPr>
          <w:ilvl w:val="0"/>
          <w:numId w:val="6"/>
        </w:numPr>
        <w:spacing w:after="0" w:line="240" w:lineRule="auto"/>
        <w:contextualSpacing/>
        <w:rPr>
          <w:rFonts w:eastAsia="Calibri" w:cs="Arial"/>
          <w:sz w:val="24"/>
          <w:szCs w:val="24"/>
        </w:rPr>
      </w:pPr>
      <w:hyperlink r:id="rId59" w:history="1">
        <w:r w:rsidR="006870DA" w:rsidRPr="00915C09">
          <w:rPr>
            <w:rFonts w:eastAsia="Calibri" w:cs="Arial"/>
            <w:color w:val="0000FF"/>
            <w:sz w:val="24"/>
            <w:szCs w:val="24"/>
            <w:u w:val="single"/>
          </w:rPr>
          <w:t>TA 04-21</w:t>
        </w:r>
      </w:hyperlink>
      <w:r w:rsidR="006870DA" w:rsidRPr="00915C09">
        <w:rPr>
          <w:rFonts w:eastAsia="Calibri" w:cs="Arial"/>
          <w:sz w:val="24"/>
          <w:szCs w:val="24"/>
        </w:rPr>
        <w:t xml:space="preserve"> WIA Work Experience Programs and Employer Liability for Unemployment Insurance Coverage</w:t>
      </w:r>
    </w:p>
    <w:p w14:paraId="3F878CB7" w14:textId="77777777" w:rsidR="006870DA" w:rsidRPr="00915C09" w:rsidRDefault="006870DA" w:rsidP="006870DA">
      <w:pPr>
        <w:spacing w:after="0" w:line="240" w:lineRule="auto"/>
        <w:ind w:left="720"/>
        <w:contextualSpacing/>
        <w:rPr>
          <w:rFonts w:eastAsia="Calibri" w:cs="Arial"/>
          <w:sz w:val="24"/>
          <w:szCs w:val="24"/>
        </w:rPr>
      </w:pPr>
    </w:p>
    <w:p w14:paraId="4E2E216B" w14:textId="77777777" w:rsidR="006870DA" w:rsidRPr="00915C09" w:rsidRDefault="00F61E66" w:rsidP="006870DA">
      <w:pPr>
        <w:numPr>
          <w:ilvl w:val="0"/>
          <w:numId w:val="6"/>
        </w:numPr>
        <w:spacing w:after="0" w:line="240" w:lineRule="auto"/>
        <w:contextualSpacing/>
        <w:rPr>
          <w:rFonts w:eastAsia="Calibri" w:cs="Arial"/>
          <w:sz w:val="24"/>
          <w:szCs w:val="24"/>
        </w:rPr>
      </w:pPr>
      <w:hyperlink r:id="rId60" w:history="1">
        <w:r w:rsidR="006870DA" w:rsidRPr="00915C09">
          <w:rPr>
            <w:rFonts w:eastAsia="Calibri" w:cs="Arial"/>
            <w:color w:val="0000FF"/>
            <w:sz w:val="24"/>
            <w:szCs w:val="24"/>
            <w:u w:val="single"/>
          </w:rPr>
          <w:t>TA 04-19</w:t>
        </w:r>
      </w:hyperlink>
      <w:r w:rsidR="006870DA" w:rsidRPr="00915C09">
        <w:rPr>
          <w:rFonts w:eastAsia="Calibri" w:cs="Arial"/>
          <w:sz w:val="24"/>
          <w:szCs w:val="24"/>
        </w:rPr>
        <w:t xml:space="preserve"> Technical Assistance and Clarifying Guidance Regarding Oversight and Monitoring Responsibilities for Chief Local Elected Officials and Local Workforce Investment Boards</w:t>
      </w:r>
    </w:p>
    <w:p w14:paraId="5AC4F703" w14:textId="77777777" w:rsidR="00A22A34" w:rsidRPr="00915C09" w:rsidRDefault="00A22A34" w:rsidP="00A22A34">
      <w:pPr>
        <w:spacing w:after="0" w:line="240" w:lineRule="auto"/>
        <w:ind w:left="720"/>
        <w:contextualSpacing/>
        <w:rPr>
          <w:rFonts w:eastAsia="Calibri" w:cs="Arial"/>
          <w:sz w:val="24"/>
          <w:szCs w:val="24"/>
        </w:rPr>
      </w:pPr>
    </w:p>
    <w:p w14:paraId="51451291" w14:textId="77777777" w:rsidR="006870DA" w:rsidRDefault="00F61E66" w:rsidP="00355105">
      <w:pPr>
        <w:pStyle w:val="ListParagraph"/>
        <w:numPr>
          <w:ilvl w:val="0"/>
          <w:numId w:val="6"/>
        </w:numPr>
        <w:spacing w:after="0"/>
        <w:rPr>
          <w:rFonts w:eastAsia="Calibri" w:cs="Arial"/>
          <w:sz w:val="24"/>
          <w:szCs w:val="24"/>
        </w:rPr>
      </w:pPr>
      <w:hyperlink r:id="rId61" w:history="1">
        <w:r w:rsidR="00A22A34" w:rsidRPr="00915C09">
          <w:rPr>
            <w:rStyle w:val="Hyperlink"/>
            <w:rFonts w:eastAsia="Calibri" w:cs="Arial"/>
            <w:color w:val="0000FF"/>
            <w:sz w:val="24"/>
            <w:szCs w:val="24"/>
          </w:rPr>
          <w:t>TA 12-12.1</w:t>
        </w:r>
      </w:hyperlink>
      <w:r w:rsidR="00A22A34" w:rsidRPr="00915C09">
        <w:rPr>
          <w:rFonts w:eastAsia="Calibri" w:cs="Arial"/>
          <w:sz w:val="24"/>
          <w:szCs w:val="24"/>
        </w:rPr>
        <w:t xml:space="preserve"> Implementation of Veterans’ Priority of Service for Covered Persons in Qualified USDOL Job Training Programs. </w:t>
      </w:r>
    </w:p>
    <w:p w14:paraId="61E634C4" w14:textId="77777777" w:rsidR="005C7FFC" w:rsidRPr="005C7FFC" w:rsidRDefault="005C7FFC" w:rsidP="005C7FFC">
      <w:pPr>
        <w:pStyle w:val="ListParagraph"/>
        <w:rPr>
          <w:rFonts w:eastAsia="Calibri" w:cs="Arial"/>
          <w:sz w:val="24"/>
          <w:szCs w:val="24"/>
        </w:rPr>
      </w:pPr>
    </w:p>
    <w:p w14:paraId="57833937" w14:textId="77777777" w:rsidR="005C7FFC" w:rsidRPr="005C7FFC" w:rsidRDefault="005C7FFC" w:rsidP="005C7FFC">
      <w:pPr>
        <w:pStyle w:val="ListParagraph"/>
        <w:numPr>
          <w:ilvl w:val="0"/>
          <w:numId w:val="6"/>
        </w:numPr>
        <w:spacing w:after="0"/>
        <w:rPr>
          <w:rFonts w:eastAsia="Calibri" w:cs="Arial"/>
          <w:sz w:val="24"/>
          <w:szCs w:val="24"/>
        </w:rPr>
      </w:pPr>
      <w:hyperlink r:id="rId62" w:history="1">
        <w:r w:rsidRPr="005C7FFC">
          <w:rPr>
            <w:rStyle w:val="Hyperlink"/>
            <w:rFonts w:eastAsia="Calibri" w:cs="Arial"/>
            <w:color w:val="0000FF"/>
            <w:sz w:val="24"/>
            <w:szCs w:val="24"/>
          </w:rPr>
          <w:t>TA 16-4</w:t>
        </w:r>
      </w:hyperlink>
      <w:r>
        <w:rPr>
          <w:rFonts w:eastAsia="Calibri" w:cs="Arial"/>
          <w:sz w:val="24"/>
          <w:szCs w:val="24"/>
        </w:rPr>
        <w:t xml:space="preserve"> </w:t>
      </w:r>
      <w:r w:rsidRPr="005C7FFC">
        <w:rPr>
          <w:rFonts w:eastAsia="Calibri" w:cs="Arial"/>
          <w:sz w:val="24"/>
          <w:szCs w:val="24"/>
        </w:rPr>
        <w:t>Universal Accessibility of the Workforce Development System to Individuals</w:t>
      </w:r>
      <w:r>
        <w:rPr>
          <w:rFonts w:eastAsia="Calibri" w:cs="Arial"/>
          <w:sz w:val="24"/>
          <w:szCs w:val="24"/>
        </w:rPr>
        <w:t xml:space="preserve"> </w:t>
      </w:r>
      <w:r w:rsidRPr="005C7FFC">
        <w:rPr>
          <w:rFonts w:eastAsia="Calibri" w:cs="Arial"/>
          <w:sz w:val="24"/>
          <w:szCs w:val="24"/>
        </w:rPr>
        <w:t>with Disabilities, including those who are Blind or Visually Impaired</w:t>
      </w:r>
    </w:p>
    <w:p w14:paraId="6036D00A" w14:textId="77777777" w:rsidR="006870DA" w:rsidRPr="00915C09" w:rsidRDefault="006870DA" w:rsidP="00355105">
      <w:pPr>
        <w:spacing w:line="240" w:lineRule="auto"/>
        <w:rPr>
          <w:rFonts w:eastAsia="Calibri" w:cs="Arial"/>
          <w:b/>
          <w:sz w:val="24"/>
          <w:szCs w:val="24"/>
        </w:rPr>
      </w:pPr>
    </w:p>
    <w:p w14:paraId="31D80067" w14:textId="77777777" w:rsidR="006870DA" w:rsidRPr="00915C09" w:rsidRDefault="006870DA" w:rsidP="006870DA">
      <w:pPr>
        <w:spacing w:after="0" w:line="240" w:lineRule="auto"/>
        <w:rPr>
          <w:rFonts w:eastAsia="Calibri" w:cs="Arial"/>
          <w:b/>
          <w:sz w:val="24"/>
          <w:szCs w:val="24"/>
          <w:u w:val="single"/>
        </w:rPr>
      </w:pPr>
      <w:r w:rsidRPr="00915C09">
        <w:rPr>
          <w:rFonts w:eastAsia="Calibri" w:cs="Arial"/>
          <w:b/>
          <w:sz w:val="24"/>
          <w:szCs w:val="24"/>
          <w:u w:val="single"/>
        </w:rPr>
        <w:t>Credential Attainment</w:t>
      </w:r>
    </w:p>
    <w:p w14:paraId="4694310E" w14:textId="77777777" w:rsidR="006870DA" w:rsidRPr="00915C09" w:rsidRDefault="006870DA" w:rsidP="006870DA">
      <w:pPr>
        <w:spacing w:after="0" w:line="240" w:lineRule="auto"/>
        <w:rPr>
          <w:rFonts w:eastAsia="Calibri" w:cs="Arial"/>
          <w:b/>
          <w:sz w:val="24"/>
          <w:szCs w:val="24"/>
          <w:u w:val="single"/>
        </w:rPr>
      </w:pPr>
    </w:p>
    <w:p w14:paraId="3E2AC46C" w14:textId="77777777" w:rsidR="006870DA" w:rsidRPr="00915C09" w:rsidRDefault="006870DA" w:rsidP="006870DA">
      <w:pPr>
        <w:numPr>
          <w:ilvl w:val="0"/>
          <w:numId w:val="7"/>
        </w:numPr>
        <w:spacing w:after="0" w:line="240" w:lineRule="auto"/>
        <w:contextualSpacing/>
        <w:rPr>
          <w:rFonts w:eastAsia="Calibri" w:cs="Arial"/>
          <w:sz w:val="24"/>
          <w:szCs w:val="24"/>
        </w:rPr>
      </w:pPr>
      <w:r w:rsidRPr="00915C09">
        <w:rPr>
          <w:rFonts w:eastAsia="Calibri" w:cs="Arial"/>
          <w:sz w:val="24"/>
          <w:szCs w:val="24"/>
        </w:rPr>
        <w:t xml:space="preserve">We occasionally receive requests from local area staff or program operators to provide guidance on if a specific credential can be reported as a positive outcome for the Credential Attainment measure.  To provide consistent guidance on reportable credentials, these requests need to be submitted to the NYSDOL Youth Office using the email address above.  Provide as much detail as possible, including links to training provider webpages if available.  </w:t>
      </w:r>
    </w:p>
    <w:p w14:paraId="09BE3103" w14:textId="77777777" w:rsidR="006870DA" w:rsidRPr="00915C09" w:rsidRDefault="006870DA" w:rsidP="006870DA">
      <w:pPr>
        <w:spacing w:after="0" w:line="240" w:lineRule="auto"/>
        <w:ind w:left="720"/>
        <w:contextualSpacing/>
        <w:rPr>
          <w:rFonts w:eastAsia="Calibri" w:cs="Arial"/>
          <w:sz w:val="24"/>
          <w:szCs w:val="24"/>
        </w:rPr>
      </w:pPr>
    </w:p>
    <w:p w14:paraId="606B0865" w14:textId="77777777" w:rsidR="006870DA" w:rsidRPr="00915C09" w:rsidRDefault="006870DA" w:rsidP="006870DA">
      <w:pPr>
        <w:spacing w:after="0" w:line="240" w:lineRule="auto"/>
        <w:ind w:left="720"/>
        <w:contextualSpacing/>
        <w:rPr>
          <w:rFonts w:eastAsia="Calibri" w:cs="Arial"/>
          <w:sz w:val="24"/>
          <w:szCs w:val="24"/>
        </w:rPr>
      </w:pPr>
      <w:r w:rsidRPr="00915C09">
        <w:rPr>
          <w:rFonts w:eastAsia="Calibri" w:cs="Arial"/>
          <w:sz w:val="24"/>
          <w:szCs w:val="24"/>
        </w:rPr>
        <w:lastRenderedPageBreak/>
        <w:t>Below is a list of credentials that are not reportable as a positive outcome in New York, this list is not all inclusive, discuss any questionable credentials found during your review with your supervisor –</w:t>
      </w:r>
    </w:p>
    <w:p w14:paraId="052DEF66" w14:textId="77777777" w:rsidR="006870DA" w:rsidRPr="00915C09" w:rsidRDefault="006870DA" w:rsidP="006870DA">
      <w:pPr>
        <w:spacing w:after="0" w:line="240" w:lineRule="auto"/>
        <w:ind w:left="720"/>
        <w:contextualSpacing/>
        <w:rPr>
          <w:rFonts w:eastAsia="Calibri" w:cs="Arial"/>
          <w:sz w:val="24"/>
          <w:szCs w:val="24"/>
        </w:rPr>
      </w:pPr>
    </w:p>
    <w:p w14:paraId="4E45D453" w14:textId="77777777" w:rsidR="006870DA" w:rsidRPr="00915C09" w:rsidRDefault="006870DA" w:rsidP="006870DA">
      <w:pPr>
        <w:numPr>
          <w:ilvl w:val="0"/>
          <w:numId w:val="7"/>
        </w:numPr>
        <w:spacing w:after="0" w:line="240" w:lineRule="auto"/>
        <w:ind w:left="1080"/>
        <w:contextualSpacing/>
        <w:rPr>
          <w:rFonts w:eastAsia="Calibri" w:cs="Arial"/>
          <w:sz w:val="24"/>
          <w:szCs w:val="24"/>
        </w:rPr>
      </w:pPr>
      <w:r w:rsidRPr="00915C09">
        <w:rPr>
          <w:rFonts w:eastAsia="Calibri" w:cs="Arial"/>
          <w:sz w:val="24"/>
          <w:szCs w:val="24"/>
        </w:rPr>
        <w:t>First Aid;</w:t>
      </w:r>
    </w:p>
    <w:p w14:paraId="67EF5DCD" w14:textId="77777777" w:rsidR="006870DA" w:rsidRPr="00915C09" w:rsidRDefault="006870DA" w:rsidP="006870DA">
      <w:pPr>
        <w:numPr>
          <w:ilvl w:val="0"/>
          <w:numId w:val="7"/>
        </w:numPr>
        <w:spacing w:after="0" w:line="240" w:lineRule="auto"/>
        <w:ind w:left="1080"/>
        <w:contextualSpacing/>
        <w:rPr>
          <w:rFonts w:eastAsia="Calibri" w:cs="Arial"/>
          <w:sz w:val="24"/>
          <w:szCs w:val="24"/>
        </w:rPr>
      </w:pPr>
      <w:r w:rsidRPr="00915C09">
        <w:rPr>
          <w:rFonts w:eastAsia="Calibri" w:cs="Arial"/>
          <w:sz w:val="24"/>
          <w:szCs w:val="24"/>
        </w:rPr>
        <w:t>CPR training;</w:t>
      </w:r>
    </w:p>
    <w:p w14:paraId="64EE5FA8" w14:textId="77777777" w:rsidR="006870DA" w:rsidRPr="00915C09" w:rsidRDefault="006870DA" w:rsidP="006870DA">
      <w:pPr>
        <w:numPr>
          <w:ilvl w:val="0"/>
          <w:numId w:val="7"/>
        </w:numPr>
        <w:spacing w:after="0" w:line="240" w:lineRule="auto"/>
        <w:ind w:left="1080"/>
        <w:contextualSpacing/>
        <w:rPr>
          <w:rFonts w:eastAsia="Calibri" w:cs="Arial"/>
          <w:sz w:val="24"/>
          <w:szCs w:val="24"/>
        </w:rPr>
      </w:pPr>
      <w:r w:rsidRPr="00915C09">
        <w:rPr>
          <w:rFonts w:eastAsia="Calibri" w:cs="Arial"/>
          <w:sz w:val="24"/>
          <w:szCs w:val="24"/>
        </w:rPr>
        <w:t>Occupational Safety and Health Administration 10-hour course (OSHA 10);</w:t>
      </w:r>
    </w:p>
    <w:p w14:paraId="27D8963C" w14:textId="77777777" w:rsidR="006870DA" w:rsidRPr="00915C09" w:rsidRDefault="006870DA" w:rsidP="006870DA">
      <w:pPr>
        <w:numPr>
          <w:ilvl w:val="0"/>
          <w:numId w:val="7"/>
        </w:numPr>
        <w:spacing w:after="0" w:line="240" w:lineRule="auto"/>
        <w:ind w:left="1080"/>
        <w:contextualSpacing/>
        <w:rPr>
          <w:rFonts w:eastAsia="Calibri" w:cs="Arial"/>
          <w:sz w:val="24"/>
          <w:szCs w:val="24"/>
        </w:rPr>
      </w:pPr>
      <w:r w:rsidRPr="00915C09">
        <w:rPr>
          <w:rFonts w:eastAsia="Calibri" w:cs="Arial"/>
          <w:sz w:val="24"/>
          <w:szCs w:val="24"/>
        </w:rPr>
        <w:t>Work or career readiness certificate, including the National Career Readiness Certification</w:t>
      </w:r>
      <w:r w:rsidRPr="00915C09">
        <w:rPr>
          <w:rFonts w:eastAsia="Calibri" w:cs="Arial"/>
          <w:sz w:val="24"/>
          <w:szCs w:val="24"/>
          <w:vertAlign w:val="superscript"/>
        </w:rPr>
        <w:footnoteReference w:id="1"/>
      </w:r>
      <w:r w:rsidRPr="00915C09">
        <w:rPr>
          <w:rFonts w:eastAsia="Calibri" w:cs="Arial"/>
          <w:sz w:val="24"/>
          <w:szCs w:val="24"/>
        </w:rPr>
        <w:t>;</w:t>
      </w:r>
    </w:p>
    <w:p w14:paraId="3B084C58" w14:textId="77777777" w:rsidR="006870DA" w:rsidRPr="00915C09" w:rsidRDefault="006870DA" w:rsidP="006870DA">
      <w:pPr>
        <w:numPr>
          <w:ilvl w:val="0"/>
          <w:numId w:val="7"/>
        </w:numPr>
        <w:spacing w:after="0" w:line="240" w:lineRule="auto"/>
        <w:ind w:left="1080"/>
        <w:contextualSpacing/>
        <w:rPr>
          <w:rFonts w:eastAsia="Calibri" w:cs="Arial"/>
          <w:sz w:val="24"/>
          <w:szCs w:val="24"/>
        </w:rPr>
      </w:pPr>
      <w:r w:rsidRPr="00915C09">
        <w:rPr>
          <w:rFonts w:eastAsia="Calibri" w:cs="Arial"/>
          <w:sz w:val="24"/>
          <w:szCs w:val="24"/>
        </w:rPr>
        <w:t>Completion of an assistive technology training program, such as screen reading software</w:t>
      </w:r>
      <w:r w:rsidRPr="00915C09">
        <w:rPr>
          <w:rFonts w:eastAsia="Calibri" w:cs="Arial"/>
          <w:sz w:val="24"/>
          <w:szCs w:val="24"/>
          <w:vertAlign w:val="superscript"/>
        </w:rPr>
        <w:t>1</w:t>
      </w:r>
      <w:r w:rsidRPr="00915C09">
        <w:rPr>
          <w:rFonts w:eastAsia="Calibri" w:cs="Arial"/>
          <w:sz w:val="24"/>
          <w:szCs w:val="24"/>
        </w:rPr>
        <w:t>;</w:t>
      </w:r>
    </w:p>
    <w:p w14:paraId="4865AFEC" w14:textId="77777777" w:rsidR="006870DA" w:rsidRPr="00915C09" w:rsidRDefault="006870DA" w:rsidP="006870DA">
      <w:pPr>
        <w:numPr>
          <w:ilvl w:val="0"/>
          <w:numId w:val="7"/>
        </w:numPr>
        <w:spacing w:after="0" w:line="240" w:lineRule="auto"/>
        <w:ind w:left="1080"/>
        <w:contextualSpacing/>
        <w:rPr>
          <w:rFonts w:eastAsia="Calibri" w:cs="Arial"/>
          <w:sz w:val="24"/>
          <w:szCs w:val="24"/>
        </w:rPr>
      </w:pPr>
      <w:r w:rsidRPr="00915C09">
        <w:rPr>
          <w:rFonts w:eastAsia="Calibri" w:cs="Arial"/>
          <w:sz w:val="24"/>
          <w:szCs w:val="24"/>
        </w:rPr>
        <w:t>Completion of orientation and mobility training</w:t>
      </w:r>
      <w:r w:rsidRPr="00915C09">
        <w:rPr>
          <w:rFonts w:eastAsia="Calibri" w:cs="Arial"/>
          <w:sz w:val="24"/>
          <w:szCs w:val="24"/>
          <w:vertAlign w:val="superscript"/>
        </w:rPr>
        <w:t>1</w:t>
      </w:r>
      <w:r w:rsidRPr="00915C09">
        <w:rPr>
          <w:rFonts w:eastAsia="Calibri" w:cs="Arial"/>
          <w:sz w:val="24"/>
          <w:szCs w:val="24"/>
        </w:rPr>
        <w:t>;</w:t>
      </w:r>
    </w:p>
    <w:p w14:paraId="001AD66B" w14:textId="77777777" w:rsidR="006870DA" w:rsidRPr="00915C09" w:rsidRDefault="006870DA" w:rsidP="006870DA">
      <w:pPr>
        <w:numPr>
          <w:ilvl w:val="0"/>
          <w:numId w:val="7"/>
        </w:numPr>
        <w:spacing w:after="0" w:line="240" w:lineRule="auto"/>
        <w:ind w:left="1080"/>
        <w:contextualSpacing/>
        <w:rPr>
          <w:rFonts w:eastAsia="Calibri" w:cs="Arial"/>
          <w:sz w:val="24"/>
          <w:szCs w:val="24"/>
        </w:rPr>
      </w:pPr>
      <w:r w:rsidRPr="00915C09">
        <w:rPr>
          <w:rFonts w:eastAsia="Calibri" w:cs="Arial"/>
          <w:sz w:val="24"/>
          <w:szCs w:val="24"/>
        </w:rPr>
        <w:t>Certificates awarded by workforce development boards (WDBs) (TEGL 10-16, Change 1);</w:t>
      </w:r>
    </w:p>
    <w:p w14:paraId="20A066A5" w14:textId="77777777" w:rsidR="006870DA" w:rsidRPr="00915C09" w:rsidRDefault="006870DA" w:rsidP="006870DA">
      <w:pPr>
        <w:numPr>
          <w:ilvl w:val="0"/>
          <w:numId w:val="7"/>
        </w:numPr>
        <w:spacing w:after="0" w:line="240" w:lineRule="auto"/>
        <w:ind w:left="1080"/>
        <w:contextualSpacing/>
        <w:rPr>
          <w:rFonts w:eastAsia="Calibri" w:cs="Arial"/>
          <w:sz w:val="24"/>
          <w:szCs w:val="24"/>
        </w:rPr>
      </w:pPr>
      <w:r w:rsidRPr="00915C09">
        <w:rPr>
          <w:rFonts w:eastAsia="Calibri" w:cs="Arial"/>
          <w:sz w:val="24"/>
          <w:szCs w:val="24"/>
        </w:rPr>
        <w:t>Graduate degrees are not included in the definition of a recognized postsecondary credential.  Therefore, graduate degrees do not count towards credential attainment (TEGL 10-16, Change 1);</w:t>
      </w:r>
    </w:p>
    <w:p w14:paraId="448E7C05" w14:textId="77777777" w:rsidR="006870DA" w:rsidRPr="00915C09" w:rsidRDefault="006870DA" w:rsidP="006870DA">
      <w:pPr>
        <w:numPr>
          <w:ilvl w:val="0"/>
          <w:numId w:val="7"/>
        </w:numPr>
        <w:spacing w:after="0" w:line="240" w:lineRule="auto"/>
        <w:ind w:left="1080"/>
        <w:contextualSpacing/>
        <w:rPr>
          <w:rFonts w:eastAsia="Calibri" w:cs="Arial"/>
          <w:sz w:val="24"/>
          <w:szCs w:val="24"/>
        </w:rPr>
      </w:pPr>
      <w:r w:rsidRPr="00915C09">
        <w:rPr>
          <w:rFonts w:eastAsia="Calibri" w:cs="Arial"/>
          <w:sz w:val="24"/>
          <w:szCs w:val="24"/>
        </w:rPr>
        <w:t>Certificates for general skills related to safety, hygiene, etc., even if such general skills certificates are broadly required to qualify for entry-level employment or advancement in employment (TEGL 10-16, Change 1).</w:t>
      </w:r>
    </w:p>
    <w:p w14:paraId="293896E5" w14:textId="77777777" w:rsidR="002842C1" w:rsidRPr="00915C09" w:rsidRDefault="002842C1">
      <w:pPr>
        <w:rPr>
          <w:sz w:val="24"/>
          <w:szCs w:val="24"/>
        </w:rPr>
      </w:pPr>
    </w:p>
    <w:p w14:paraId="7B01A92D" w14:textId="77777777" w:rsidR="00325753" w:rsidRPr="00915C09" w:rsidRDefault="00325753" w:rsidP="00325753">
      <w:pPr>
        <w:spacing w:after="0" w:line="240" w:lineRule="auto"/>
        <w:rPr>
          <w:rFonts w:eastAsia="Calibri" w:cs="Arial"/>
          <w:b/>
          <w:sz w:val="24"/>
          <w:szCs w:val="24"/>
          <w:u w:val="single"/>
        </w:rPr>
      </w:pPr>
      <w:r w:rsidRPr="00915C09">
        <w:rPr>
          <w:rFonts w:eastAsia="Calibri" w:cs="Arial"/>
          <w:b/>
          <w:sz w:val="24"/>
          <w:szCs w:val="24"/>
          <w:u w:val="single"/>
        </w:rPr>
        <w:t>Definitions</w:t>
      </w:r>
    </w:p>
    <w:p w14:paraId="09C42953" w14:textId="77777777" w:rsidR="00325753" w:rsidRPr="00915C09" w:rsidRDefault="00325753" w:rsidP="00325753">
      <w:pPr>
        <w:spacing w:after="0" w:line="240" w:lineRule="auto"/>
        <w:ind w:left="720"/>
        <w:rPr>
          <w:rFonts w:eastAsia="Calibri" w:cs="Arial"/>
          <w:sz w:val="24"/>
          <w:szCs w:val="24"/>
        </w:rPr>
      </w:pPr>
    </w:p>
    <w:p w14:paraId="4571FFF0" w14:textId="77777777" w:rsidR="00325753" w:rsidRPr="00915C09" w:rsidRDefault="00325753" w:rsidP="00325753">
      <w:pPr>
        <w:numPr>
          <w:ilvl w:val="0"/>
          <w:numId w:val="2"/>
        </w:numPr>
        <w:spacing w:after="0" w:line="240" w:lineRule="auto"/>
        <w:ind w:left="360"/>
        <w:rPr>
          <w:rFonts w:eastAsia="Calibri" w:cs="Arial"/>
          <w:sz w:val="24"/>
          <w:szCs w:val="24"/>
        </w:rPr>
      </w:pPr>
      <w:r w:rsidRPr="00915C09">
        <w:rPr>
          <w:rFonts w:eastAsia="Calibri" w:cs="Arial"/>
          <w:b/>
          <w:sz w:val="24"/>
          <w:szCs w:val="24"/>
        </w:rPr>
        <w:t>Basic Skills Deficient</w:t>
      </w:r>
      <w:r w:rsidRPr="00915C09">
        <w:rPr>
          <w:rFonts w:eastAsia="Calibri" w:cs="Arial"/>
          <w:sz w:val="24"/>
          <w:szCs w:val="24"/>
        </w:rPr>
        <w:t xml:space="preserve"> (</w:t>
      </w:r>
      <w:hyperlink r:id="rId63" w:history="1">
        <w:r w:rsidRPr="00915C09">
          <w:rPr>
            <w:rFonts w:eastAsia="Calibri" w:cs="Arial"/>
            <w:color w:val="0000FF"/>
            <w:sz w:val="24"/>
            <w:szCs w:val="24"/>
            <w:u w:val="single"/>
          </w:rPr>
          <w:t>CFR §681.290</w:t>
        </w:r>
      </w:hyperlink>
      <w:r w:rsidRPr="00915C09">
        <w:rPr>
          <w:rFonts w:eastAsia="Calibri" w:cs="Arial"/>
          <w:sz w:val="24"/>
          <w:szCs w:val="24"/>
        </w:rPr>
        <w:t>) is defined as a youth who:</w:t>
      </w:r>
    </w:p>
    <w:p w14:paraId="4174692A" w14:textId="77777777" w:rsidR="00325753" w:rsidRPr="00915C09" w:rsidRDefault="00325753" w:rsidP="00325753">
      <w:pPr>
        <w:numPr>
          <w:ilvl w:val="1"/>
          <w:numId w:val="2"/>
        </w:numPr>
        <w:spacing w:after="120" w:line="240" w:lineRule="auto"/>
        <w:ind w:left="720"/>
        <w:rPr>
          <w:rFonts w:eastAsia="Calibri" w:cs="Arial"/>
          <w:sz w:val="24"/>
          <w:szCs w:val="24"/>
        </w:rPr>
      </w:pPr>
      <w:r w:rsidRPr="00915C09">
        <w:rPr>
          <w:rFonts w:eastAsia="Calibri" w:cs="Arial"/>
          <w:sz w:val="24"/>
          <w:szCs w:val="24"/>
        </w:rPr>
        <w:t>Have English reading, writing, or computing skills at or below the 8</w:t>
      </w:r>
      <w:r w:rsidRPr="00915C09">
        <w:rPr>
          <w:rFonts w:eastAsia="Calibri" w:cs="Arial"/>
          <w:sz w:val="24"/>
          <w:szCs w:val="24"/>
          <w:vertAlign w:val="superscript"/>
        </w:rPr>
        <w:t>th</w:t>
      </w:r>
      <w:r w:rsidRPr="00915C09">
        <w:rPr>
          <w:rFonts w:eastAsia="Calibri" w:cs="Arial"/>
          <w:sz w:val="24"/>
          <w:szCs w:val="24"/>
        </w:rPr>
        <w:t xml:space="preserve"> grade level on a generally accepted standardized test; or</w:t>
      </w:r>
    </w:p>
    <w:p w14:paraId="29F334F8" w14:textId="77777777" w:rsidR="00325753" w:rsidRPr="00915C09" w:rsidRDefault="00325753" w:rsidP="00325753">
      <w:pPr>
        <w:numPr>
          <w:ilvl w:val="1"/>
          <w:numId w:val="2"/>
        </w:numPr>
        <w:spacing w:after="120" w:line="240" w:lineRule="auto"/>
        <w:ind w:left="720"/>
        <w:rPr>
          <w:rFonts w:eastAsia="Calibri" w:cs="Arial"/>
          <w:sz w:val="24"/>
          <w:szCs w:val="24"/>
        </w:rPr>
      </w:pPr>
      <w:r w:rsidRPr="00915C09">
        <w:rPr>
          <w:rFonts w:eastAsia="Calibri" w:cs="Arial"/>
          <w:sz w:val="24"/>
          <w:szCs w:val="24"/>
        </w:rPr>
        <w:t>Is unable to compute or solve problems, or read, write, or speak English at a level necessary to function on the job, in the individual’s family, or in society.</w:t>
      </w:r>
    </w:p>
    <w:p w14:paraId="7243D739" w14:textId="77777777" w:rsidR="00325753" w:rsidRPr="00915C09" w:rsidRDefault="00325753" w:rsidP="00325753">
      <w:pPr>
        <w:numPr>
          <w:ilvl w:val="1"/>
          <w:numId w:val="2"/>
        </w:numPr>
        <w:spacing w:after="120" w:line="240" w:lineRule="auto"/>
        <w:ind w:left="720"/>
        <w:rPr>
          <w:rFonts w:eastAsia="Calibri" w:cs="Arial"/>
          <w:sz w:val="24"/>
          <w:szCs w:val="24"/>
        </w:rPr>
      </w:pPr>
      <w:r w:rsidRPr="00915C09">
        <w:rPr>
          <w:rFonts w:eastAsia="Calibri" w:cs="Arial"/>
          <w:sz w:val="24"/>
          <w:szCs w:val="24"/>
        </w:rPr>
        <w:t>In assessing basic skills, local programs must use assessment instruments that are valid and appropriate for the target population, and must provide reasonable accommodation in the assessment process, if necessary, for individuals with disabilities.</w:t>
      </w:r>
    </w:p>
    <w:p w14:paraId="2FA48A56" w14:textId="77777777" w:rsidR="00325753" w:rsidRPr="00915C09" w:rsidRDefault="00325753" w:rsidP="00325753">
      <w:pPr>
        <w:spacing w:after="0" w:line="240" w:lineRule="auto"/>
        <w:ind w:left="720"/>
        <w:rPr>
          <w:rFonts w:eastAsia="Calibri" w:cs="Arial"/>
          <w:b/>
          <w:sz w:val="24"/>
          <w:szCs w:val="24"/>
        </w:rPr>
      </w:pPr>
      <w:r w:rsidRPr="00915C09">
        <w:rPr>
          <w:rFonts w:eastAsia="Calibri" w:cs="Arial"/>
          <w:b/>
          <w:sz w:val="24"/>
          <w:szCs w:val="24"/>
          <w:u w:val="single"/>
        </w:rPr>
        <w:t>Note</w:t>
      </w:r>
      <w:r w:rsidRPr="00915C09">
        <w:rPr>
          <w:rFonts w:eastAsia="Calibri" w:cs="Arial"/>
          <w:b/>
          <w:sz w:val="24"/>
          <w:szCs w:val="24"/>
        </w:rPr>
        <w:t xml:space="preserve">: </w:t>
      </w:r>
      <w:hyperlink r:id="rId64" w:history="1">
        <w:r w:rsidRPr="00915C09">
          <w:rPr>
            <w:rFonts w:eastAsia="Calibri" w:cs="Arial"/>
            <w:color w:val="0000FF"/>
            <w:sz w:val="24"/>
            <w:szCs w:val="24"/>
            <w:u w:val="single"/>
          </w:rPr>
          <w:t>CFR §681.290(b)</w:t>
        </w:r>
      </w:hyperlink>
      <w:r w:rsidRPr="00915C09">
        <w:rPr>
          <w:rFonts w:eastAsia="Calibri" w:cs="Arial"/>
          <w:b/>
          <w:sz w:val="24"/>
          <w:szCs w:val="24"/>
        </w:rPr>
        <w:t xml:space="preserve"> </w:t>
      </w:r>
      <w:r w:rsidRPr="00915C09">
        <w:rPr>
          <w:rFonts w:eastAsia="Calibri" w:cs="Arial"/>
          <w:sz w:val="24"/>
          <w:szCs w:val="24"/>
        </w:rPr>
        <w:t>requires that the LWDB must establish a policy regarding “Is unable to compute or solve problems, or read, write, or speak English at a level necessary to function on the job, in the individual’s family, or in society”</w:t>
      </w:r>
    </w:p>
    <w:p w14:paraId="565BDCFB" w14:textId="77777777" w:rsidR="00325753" w:rsidRPr="00915C09" w:rsidRDefault="00325753" w:rsidP="00325753">
      <w:pPr>
        <w:spacing w:after="0" w:line="240" w:lineRule="auto"/>
        <w:ind w:left="360"/>
        <w:rPr>
          <w:rFonts w:eastAsia="Calibri" w:cs="Arial"/>
          <w:b/>
          <w:sz w:val="24"/>
          <w:szCs w:val="24"/>
        </w:rPr>
      </w:pPr>
    </w:p>
    <w:p w14:paraId="1D397DED" w14:textId="77777777" w:rsidR="00325753" w:rsidRPr="00915C09" w:rsidRDefault="00325753" w:rsidP="00325753">
      <w:pPr>
        <w:numPr>
          <w:ilvl w:val="0"/>
          <w:numId w:val="1"/>
        </w:numPr>
        <w:spacing w:after="0" w:line="240" w:lineRule="auto"/>
        <w:ind w:left="360"/>
        <w:rPr>
          <w:rFonts w:eastAsia="Calibri" w:cs="Arial"/>
          <w:b/>
          <w:sz w:val="24"/>
          <w:szCs w:val="24"/>
        </w:rPr>
      </w:pPr>
      <w:r w:rsidRPr="00915C09">
        <w:rPr>
          <w:rFonts w:eastAsia="Calibri" w:cs="Arial"/>
          <w:b/>
          <w:sz w:val="24"/>
          <w:szCs w:val="24"/>
        </w:rPr>
        <w:t>Disability</w:t>
      </w:r>
    </w:p>
    <w:p w14:paraId="41A0A06C" w14:textId="77777777" w:rsidR="00325753" w:rsidRPr="00915C09" w:rsidRDefault="00325753" w:rsidP="00325753">
      <w:pPr>
        <w:numPr>
          <w:ilvl w:val="1"/>
          <w:numId w:val="1"/>
        </w:numPr>
        <w:spacing w:after="120" w:line="240" w:lineRule="auto"/>
        <w:ind w:left="720"/>
        <w:rPr>
          <w:rFonts w:eastAsia="Calibri" w:cs="Arial"/>
          <w:sz w:val="24"/>
          <w:szCs w:val="24"/>
        </w:rPr>
      </w:pPr>
      <w:r w:rsidRPr="00915C09">
        <w:rPr>
          <w:rFonts w:eastAsia="Calibri" w:cs="Arial"/>
          <w:sz w:val="24"/>
          <w:szCs w:val="24"/>
        </w:rPr>
        <w:t xml:space="preserve">Defined at </w:t>
      </w:r>
      <w:hyperlink r:id="rId65" w:history="1">
        <w:r w:rsidRPr="00915C09">
          <w:rPr>
            <w:rFonts w:eastAsia="Calibri" w:cs="Arial"/>
            <w:color w:val="0000FF"/>
            <w:sz w:val="24"/>
            <w:szCs w:val="24"/>
            <w:u w:val="single"/>
          </w:rPr>
          <w:t>29 CFR 37.4</w:t>
        </w:r>
      </w:hyperlink>
      <w:r w:rsidRPr="00915C09">
        <w:rPr>
          <w:rFonts w:eastAsia="Calibri" w:cs="Arial"/>
          <w:sz w:val="24"/>
          <w:szCs w:val="24"/>
        </w:rPr>
        <w:t xml:space="preserve">, </w:t>
      </w:r>
      <w:r w:rsidRPr="00915C09">
        <w:rPr>
          <w:rFonts w:eastAsia="Calibri" w:cs="Arial"/>
          <w:i/>
          <w:iCs/>
          <w:color w:val="333333"/>
          <w:sz w:val="24"/>
          <w:szCs w:val="24"/>
          <w:lang w:val="en"/>
        </w:rPr>
        <w:t>Disability</w:t>
      </w:r>
      <w:r w:rsidRPr="00915C09">
        <w:rPr>
          <w:rFonts w:eastAsia="Calibri" w:cs="Arial"/>
          <w:color w:val="333333"/>
          <w:sz w:val="24"/>
          <w:szCs w:val="24"/>
          <w:lang w:val="en"/>
        </w:rPr>
        <w:t xml:space="preserve"> means, with respect to an individual, a </w:t>
      </w:r>
      <w:r w:rsidRPr="00915C09">
        <w:rPr>
          <w:rFonts w:eastAsia="Calibri" w:cs="Arial"/>
          <w:sz w:val="24"/>
          <w:szCs w:val="24"/>
          <w:lang w:val="en"/>
        </w:rPr>
        <w:t>physical or mental impairment</w:t>
      </w:r>
      <w:r w:rsidRPr="00915C09">
        <w:rPr>
          <w:rFonts w:eastAsia="Calibri" w:cs="Arial"/>
          <w:color w:val="333333"/>
          <w:sz w:val="24"/>
          <w:szCs w:val="24"/>
          <w:lang w:val="en"/>
        </w:rPr>
        <w:t xml:space="preserve"> that substantially limits one or more of the major life activities of </w:t>
      </w:r>
      <w:r w:rsidRPr="00915C09">
        <w:rPr>
          <w:rFonts w:eastAsia="Calibri" w:cs="Arial"/>
          <w:color w:val="333333"/>
          <w:sz w:val="24"/>
          <w:szCs w:val="24"/>
          <w:lang w:val="en"/>
        </w:rPr>
        <w:lastRenderedPageBreak/>
        <w:t>such individual; a record of such an impairment; or being regarded as having such an impairment.</w:t>
      </w:r>
    </w:p>
    <w:p w14:paraId="4A373955" w14:textId="77777777" w:rsidR="00325753" w:rsidRPr="00915C09" w:rsidRDefault="00325753" w:rsidP="00325753">
      <w:pPr>
        <w:numPr>
          <w:ilvl w:val="1"/>
          <w:numId w:val="1"/>
        </w:numPr>
        <w:spacing w:after="0" w:line="240" w:lineRule="auto"/>
        <w:ind w:left="720"/>
        <w:rPr>
          <w:rFonts w:eastAsia="Calibri" w:cs="Arial"/>
          <w:sz w:val="24"/>
          <w:szCs w:val="24"/>
        </w:rPr>
      </w:pPr>
      <w:r w:rsidRPr="00915C09">
        <w:rPr>
          <w:rFonts w:eastAsia="Calibri" w:cs="Arial"/>
          <w:color w:val="333333"/>
          <w:sz w:val="24"/>
          <w:szCs w:val="24"/>
          <w:lang w:val="en"/>
        </w:rPr>
        <w:t xml:space="preserve">See also, </w:t>
      </w:r>
      <w:hyperlink r:id="rId66" w:history="1">
        <w:r w:rsidRPr="00915C09">
          <w:rPr>
            <w:rFonts w:eastAsia="Calibri" w:cs="Arial"/>
            <w:color w:val="0000FF"/>
            <w:sz w:val="24"/>
            <w:szCs w:val="24"/>
            <w:u w:val="single"/>
          </w:rPr>
          <w:t>20 CFR §675.300</w:t>
        </w:r>
      </w:hyperlink>
    </w:p>
    <w:p w14:paraId="439F5383" w14:textId="77777777" w:rsidR="00325753" w:rsidRPr="00915C09" w:rsidRDefault="00325753" w:rsidP="00325753">
      <w:pPr>
        <w:spacing w:after="0" w:line="240" w:lineRule="auto"/>
        <w:rPr>
          <w:rFonts w:eastAsia="Calibri" w:cs="Arial"/>
          <w:sz w:val="24"/>
          <w:szCs w:val="24"/>
        </w:rPr>
      </w:pPr>
    </w:p>
    <w:p w14:paraId="52539611" w14:textId="77777777" w:rsidR="00325753" w:rsidRPr="00915C09" w:rsidRDefault="00325753" w:rsidP="00325753">
      <w:pPr>
        <w:pStyle w:val="ListParagraph"/>
        <w:numPr>
          <w:ilvl w:val="0"/>
          <w:numId w:val="1"/>
        </w:numPr>
        <w:spacing w:after="0" w:line="240" w:lineRule="auto"/>
        <w:ind w:left="360"/>
        <w:contextualSpacing w:val="0"/>
        <w:rPr>
          <w:rFonts w:cs="Arial"/>
          <w:b/>
          <w:sz w:val="24"/>
          <w:szCs w:val="24"/>
        </w:rPr>
      </w:pPr>
      <w:r w:rsidRPr="00915C09">
        <w:rPr>
          <w:rFonts w:cs="Arial"/>
          <w:b/>
          <w:sz w:val="24"/>
          <w:szCs w:val="24"/>
        </w:rPr>
        <w:t>Career Pathway</w:t>
      </w:r>
      <w:r w:rsidRPr="00915C09">
        <w:rPr>
          <w:rFonts w:cs="Arial"/>
          <w:b/>
          <w:color w:val="0000FF"/>
          <w:sz w:val="24"/>
          <w:szCs w:val="24"/>
        </w:rPr>
        <w:t xml:space="preserve"> </w:t>
      </w:r>
      <w:hyperlink r:id="rId67" w:history="1">
        <w:r w:rsidRPr="00915C09">
          <w:rPr>
            <w:rStyle w:val="Hyperlink"/>
            <w:rFonts w:cs="Arial"/>
            <w:color w:val="0000FF"/>
            <w:sz w:val="24"/>
            <w:szCs w:val="24"/>
          </w:rPr>
          <w:t>(WIOA §3(7))</w:t>
        </w:r>
      </w:hyperlink>
      <w:r w:rsidRPr="00915C09">
        <w:rPr>
          <w:rFonts w:cs="Arial"/>
          <w:sz w:val="24"/>
          <w:szCs w:val="24"/>
        </w:rPr>
        <w:t xml:space="preserve"> – means a combination of rigorous and high-quality education, training, and other services that - </w:t>
      </w:r>
    </w:p>
    <w:p w14:paraId="6BB0DCF8" w14:textId="77777777" w:rsidR="00325753" w:rsidRPr="00915C09" w:rsidRDefault="00325753" w:rsidP="00325753">
      <w:pPr>
        <w:pStyle w:val="ListParagraph"/>
        <w:numPr>
          <w:ilvl w:val="0"/>
          <w:numId w:val="10"/>
        </w:numPr>
        <w:spacing w:after="0" w:line="240" w:lineRule="auto"/>
        <w:contextualSpacing w:val="0"/>
        <w:rPr>
          <w:rFonts w:cs="Arial"/>
          <w:sz w:val="24"/>
          <w:szCs w:val="24"/>
        </w:rPr>
      </w:pPr>
      <w:r w:rsidRPr="00915C09">
        <w:rPr>
          <w:rFonts w:cs="Arial"/>
          <w:sz w:val="24"/>
          <w:szCs w:val="24"/>
        </w:rPr>
        <w:t>aligns with the skill needs of industries in the economy of the State or regional economy involved;</w:t>
      </w:r>
    </w:p>
    <w:p w14:paraId="7B1A0B47" w14:textId="77777777" w:rsidR="00325753" w:rsidRPr="00915C09" w:rsidRDefault="00325753" w:rsidP="00325753">
      <w:pPr>
        <w:pStyle w:val="ListParagraph"/>
        <w:numPr>
          <w:ilvl w:val="0"/>
          <w:numId w:val="10"/>
        </w:numPr>
        <w:spacing w:after="0" w:line="240" w:lineRule="auto"/>
        <w:contextualSpacing w:val="0"/>
        <w:rPr>
          <w:rFonts w:cs="Arial"/>
          <w:sz w:val="24"/>
          <w:szCs w:val="24"/>
        </w:rPr>
      </w:pPr>
      <w:r w:rsidRPr="00915C09">
        <w:rPr>
          <w:rFonts w:cs="Arial"/>
          <w:sz w:val="24"/>
          <w:szCs w:val="24"/>
        </w:rPr>
        <w:t>prepares an individual to be successful in any of a full range of secondary or postsecondary education options, including apprenticeships registered under the Act of August 16, 1937 (commonly known as the ‘‘National Apprenticeship Act’’; 50 Stat. 664, chapter 663; 29 U.S.C. 50 et seq.) (referred to individually in this Act as an ‘‘apprenticeship’’, except in section 171);</w:t>
      </w:r>
    </w:p>
    <w:p w14:paraId="312FA64B" w14:textId="77777777" w:rsidR="00325753" w:rsidRPr="00915C09" w:rsidRDefault="00325753" w:rsidP="00325753">
      <w:pPr>
        <w:pStyle w:val="ListParagraph"/>
        <w:numPr>
          <w:ilvl w:val="0"/>
          <w:numId w:val="10"/>
        </w:numPr>
        <w:spacing w:after="0" w:line="240" w:lineRule="auto"/>
        <w:contextualSpacing w:val="0"/>
        <w:rPr>
          <w:rFonts w:cs="Arial"/>
          <w:sz w:val="24"/>
          <w:szCs w:val="24"/>
        </w:rPr>
      </w:pPr>
      <w:r w:rsidRPr="00915C09">
        <w:rPr>
          <w:rFonts w:cs="Arial"/>
          <w:sz w:val="24"/>
          <w:szCs w:val="24"/>
        </w:rPr>
        <w:t>includes counseling to support an individual in achieving the individual’s education and career goals; (D) includes, as appropriate, education offered concurrently with and in the same context as workforce preparation activities and training for a specific occupation or occupational cluster;</w:t>
      </w:r>
    </w:p>
    <w:p w14:paraId="0C0B5CB2" w14:textId="77777777" w:rsidR="00325753" w:rsidRPr="00915C09" w:rsidRDefault="00325753" w:rsidP="00325753">
      <w:pPr>
        <w:pStyle w:val="ListParagraph"/>
        <w:numPr>
          <w:ilvl w:val="0"/>
          <w:numId w:val="10"/>
        </w:numPr>
        <w:spacing w:after="0" w:line="240" w:lineRule="auto"/>
        <w:contextualSpacing w:val="0"/>
        <w:rPr>
          <w:rFonts w:cs="Arial"/>
          <w:sz w:val="24"/>
          <w:szCs w:val="24"/>
        </w:rPr>
      </w:pPr>
      <w:r w:rsidRPr="00915C09">
        <w:rPr>
          <w:rFonts w:cs="Arial"/>
          <w:sz w:val="24"/>
          <w:szCs w:val="24"/>
        </w:rPr>
        <w:t xml:space="preserve">organizes education, training, and other services to meet the </w:t>
      </w:r>
      <w:proofErr w:type="gramStart"/>
      <w:r w:rsidRPr="00915C09">
        <w:rPr>
          <w:rFonts w:cs="Arial"/>
          <w:sz w:val="24"/>
          <w:szCs w:val="24"/>
        </w:rPr>
        <w:t>particular needs</w:t>
      </w:r>
      <w:proofErr w:type="gramEnd"/>
      <w:r w:rsidRPr="00915C09">
        <w:rPr>
          <w:rFonts w:cs="Arial"/>
          <w:sz w:val="24"/>
          <w:szCs w:val="24"/>
        </w:rPr>
        <w:t xml:space="preserve"> of an individual in a manner that accelerates the educational and career advancement of the individual to the extent practicable;</w:t>
      </w:r>
    </w:p>
    <w:p w14:paraId="2AEFDD26" w14:textId="77777777" w:rsidR="00325753" w:rsidRPr="00915C09" w:rsidRDefault="00325753" w:rsidP="00325753">
      <w:pPr>
        <w:pStyle w:val="ListParagraph"/>
        <w:numPr>
          <w:ilvl w:val="0"/>
          <w:numId w:val="10"/>
        </w:numPr>
        <w:spacing w:after="0" w:line="240" w:lineRule="auto"/>
        <w:contextualSpacing w:val="0"/>
        <w:rPr>
          <w:rFonts w:cs="Arial"/>
          <w:sz w:val="24"/>
          <w:szCs w:val="24"/>
        </w:rPr>
      </w:pPr>
      <w:r w:rsidRPr="00915C09">
        <w:rPr>
          <w:rFonts w:cs="Arial"/>
          <w:sz w:val="24"/>
          <w:szCs w:val="24"/>
        </w:rPr>
        <w:t>enables an individual to attain a secondary school diploma or its recognized equivalent, and at least 1 recognized postsecondary credential; and</w:t>
      </w:r>
    </w:p>
    <w:p w14:paraId="4F03D564" w14:textId="77777777" w:rsidR="00325753" w:rsidRPr="00915C09" w:rsidRDefault="00325753" w:rsidP="00325753">
      <w:pPr>
        <w:pStyle w:val="ListParagraph"/>
        <w:numPr>
          <w:ilvl w:val="0"/>
          <w:numId w:val="10"/>
        </w:numPr>
        <w:spacing w:after="0" w:line="240" w:lineRule="auto"/>
        <w:contextualSpacing w:val="0"/>
        <w:rPr>
          <w:rFonts w:cs="Arial"/>
          <w:b/>
          <w:sz w:val="24"/>
          <w:szCs w:val="24"/>
        </w:rPr>
      </w:pPr>
      <w:r w:rsidRPr="00915C09">
        <w:rPr>
          <w:rFonts w:cs="Arial"/>
          <w:sz w:val="24"/>
          <w:szCs w:val="24"/>
        </w:rPr>
        <w:t>helps an individual enter or advance within a specific occupation or occupational cluster.</w:t>
      </w:r>
    </w:p>
    <w:p w14:paraId="611E4E51" w14:textId="77777777" w:rsidR="00325753" w:rsidRPr="00915C09" w:rsidRDefault="00325753" w:rsidP="00325753">
      <w:pPr>
        <w:spacing w:after="0" w:line="240" w:lineRule="auto"/>
        <w:ind w:left="360"/>
        <w:rPr>
          <w:rFonts w:eastAsia="Calibri" w:cs="Arial"/>
          <w:sz w:val="24"/>
          <w:szCs w:val="24"/>
        </w:rPr>
      </w:pPr>
    </w:p>
    <w:p w14:paraId="62AF7654" w14:textId="77777777" w:rsidR="00325753" w:rsidRPr="00915C09" w:rsidRDefault="00325753" w:rsidP="00325753">
      <w:pPr>
        <w:numPr>
          <w:ilvl w:val="0"/>
          <w:numId w:val="2"/>
        </w:numPr>
        <w:spacing w:after="0" w:line="240" w:lineRule="auto"/>
        <w:ind w:left="360"/>
        <w:rPr>
          <w:rFonts w:eastAsia="Calibri" w:cs="Arial"/>
          <w:sz w:val="24"/>
          <w:szCs w:val="24"/>
        </w:rPr>
      </w:pPr>
      <w:r w:rsidRPr="00915C09">
        <w:rPr>
          <w:rFonts w:eastAsia="Calibri" w:cs="Arial"/>
          <w:b/>
          <w:sz w:val="24"/>
          <w:szCs w:val="24"/>
        </w:rPr>
        <w:t>English Language Learner</w:t>
      </w:r>
      <w:r w:rsidRPr="00915C09">
        <w:rPr>
          <w:rFonts w:eastAsia="Calibri" w:cs="Arial"/>
          <w:sz w:val="24"/>
          <w:szCs w:val="24"/>
        </w:rPr>
        <w:t xml:space="preserve">, defined in </w:t>
      </w:r>
      <w:hyperlink r:id="rId68" w:history="1">
        <w:r w:rsidRPr="00915C09">
          <w:rPr>
            <w:rFonts w:eastAsia="Calibri" w:cs="Arial"/>
            <w:color w:val="0000FF"/>
            <w:sz w:val="24"/>
            <w:szCs w:val="24"/>
            <w:u w:val="single"/>
          </w:rPr>
          <w:t>TEGL 21-16</w:t>
        </w:r>
      </w:hyperlink>
      <w:r w:rsidRPr="00915C09">
        <w:rPr>
          <w:rFonts w:eastAsia="Calibri" w:cs="Arial"/>
          <w:sz w:val="24"/>
          <w:szCs w:val="24"/>
        </w:rPr>
        <w:t xml:space="preserve">, is a participant who has limited ability in speaking, reading, writing or understanding the English language and (a) whose native language is a language other than English, or (b) who lives in a family or community environment where a language other than English is the dominant language. </w:t>
      </w:r>
    </w:p>
    <w:p w14:paraId="005B6CDB" w14:textId="77777777" w:rsidR="00325753" w:rsidRPr="00915C09" w:rsidRDefault="00325753" w:rsidP="00325753">
      <w:pPr>
        <w:spacing w:after="0" w:line="240" w:lineRule="auto"/>
        <w:ind w:left="360"/>
        <w:rPr>
          <w:rFonts w:eastAsia="Calibri" w:cs="Arial"/>
          <w:sz w:val="24"/>
          <w:szCs w:val="24"/>
        </w:rPr>
      </w:pPr>
    </w:p>
    <w:p w14:paraId="4E6BB618" w14:textId="77777777" w:rsidR="00325753" w:rsidRPr="00915C09" w:rsidRDefault="00325753" w:rsidP="00325753">
      <w:pPr>
        <w:numPr>
          <w:ilvl w:val="0"/>
          <w:numId w:val="2"/>
        </w:numPr>
        <w:spacing w:after="0" w:line="240" w:lineRule="auto"/>
        <w:ind w:left="360"/>
        <w:rPr>
          <w:rFonts w:eastAsia="Calibri" w:cs="Arial"/>
          <w:sz w:val="24"/>
          <w:szCs w:val="24"/>
        </w:rPr>
      </w:pPr>
      <w:r w:rsidRPr="00915C09">
        <w:rPr>
          <w:rFonts w:eastAsia="Calibri" w:cs="Arial"/>
          <w:b/>
          <w:sz w:val="24"/>
          <w:szCs w:val="24"/>
        </w:rPr>
        <w:t xml:space="preserve">Enrolled under 5% income exception </w:t>
      </w:r>
      <w:r w:rsidRPr="00915C09">
        <w:rPr>
          <w:rFonts w:eastAsia="Calibri" w:cs="Arial"/>
          <w:sz w:val="24"/>
          <w:szCs w:val="24"/>
        </w:rPr>
        <w:t>(</w:t>
      </w:r>
      <w:hyperlink r:id="rId69" w:history="1">
        <w:r w:rsidRPr="00915C09">
          <w:rPr>
            <w:rFonts w:eastAsia="Calibri" w:cs="Arial"/>
            <w:color w:val="0000FF"/>
            <w:sz w:val="24"/>
            <w:szCs w:val="24"/>
            <w:u w:val="single"/>
          </w:rPr>
          <w:t>CFR §681.250(c)</w:t>
        </w:r>
      </w:hyperlink>
      <w:r w:rsidRPr="00915C09">
        <w:rPr>
          <w:rFonts w:eastAsia="Calibri" w:cs="Arial"/>
          <w:sz w:val="24"/>
          <w:szCs w:val="24"/>
        </w:rPr>
        <w:t>)</w:t>
      </w:r>
    </w:p>
    <w:p w14:paraId="15359AD4" w14:textId="77777777" w:rsidR="00325753" w:rsidRPr="00915C09" w:rsidRDefault="00325753" w:rsidP="00325753">
      <w:pPr>
        <w:numPr>
          <w:ilvl w:val="1"/>
          <w:numId w:val="2"/>
        </w:numPr>
        <w:spacing w:after="0" w:line="240" w:lineRule="auto"/>
        <w:ind w:left="720"/>
        <w:contextualSpacing/>
        <w:rPr>
          <w:rFonts w:eastAsia="Calibri" w:cs="Arial"/>
          <w:sz w:val="24"/>
          <w:szCs w:val="24"/>
        </w:rPr>
      </w:pPr>
      <w:r w:rsidRPr="00915C09">
        <w:rPr>
          <w:rFonts w:eastAsia="Calibri" w:cs="Arial"/>
          <w:sz w:val="24"/>
          <w:szCs w:val="24"/>
        </w:rPr>
        <w:t>WIOA allows a low-income exception where five percent of WIOA youth may be participants who ordinarily would be required to be low-income for eligibility purposes and meet all other eligibility criteria for WIOA youth except the low-income criteria. A program must calculate the five percent based on the percent of newly enrolled youth in the local area’s WIOA youth program in a given program year who would ordinarily be required to meet the low-income criteria.</w:t>
      </w:r>
    </w:p>
    <w:p w14:paraId="44816C4A" w14:textId="77777777" w:rsidR="00325753" w:rsidRPr="00915C09" w:rsidRDefault="00325753" w:rsidP="00325753">
      <w:pPr>
        <w:spacing w:after="0" w:line="240" w:lineRule="auto"/>
        <w:ind w:left="720"/>
        <w:contextualSpacing/>
        <w:rPr>
          <w:rFonts w:eastAsia="Calibri" w:cs="Arial"/>
          <w:sz w:val="24"/>
          <w:szCs w:val="24"/>
        </w:rPr>
      </w:pPr>
    </w:p>
    <w:p w14:paraId="34243258" w14:textId="77777777" w:rsidR="00325753" w:rsidRPr="00915C09" w:rsidRDefault="00325753" w:rsidP="00325753">
      <w:pPr>
        <w:numPr>
          <w:ilvl w:val="1"/>
          <w:numId w:val="2"/>
        </w:numPr>
        <w:spacing w:after="0" w:line="240" w:lineRule="auto"/>
        <w:ind w:left="720"/>
        <w:contextualSpacing/>
        <w:rPr>
          <w:rFonts w:eastAsia="Calibri" w:cs="Arial"/>
          <w:sz w:val="24"/>
          <w:szCs w:val="24"/>
        </w:rPr>
      </w:pPr>
      <w:r w:rsidRPr="00915C09">
        <w:rPr>
          <w:rFonts w:eastAsia="Calibri" w:cs="Arial"/>
          <w:sz w:val="24"/>
          <w:szCs w:val="24"/>
        </w:rPr>
        <w:t>The 5% income exception can be tracked using the OSOS Management Reports.</w:t>
      </w:r>
    </w:p>
    <w:p w14:paraId="6BAC1D2D" w14:textId="77777777" w:rsidR="00325753" w:rsidRPr="00915C09" w:rsidRDefault="00325753" w:rsidP="00325753">
      <w:pPr>
        <w:spacing w:after="0" w:line="240" w:lineRule="auto"/>
        <w:ind w:left="720"/>
        <w:contextualSpacing/>
        <w:rPr>
          <w:rFonts w:eastAsia="Calibri" w:cs="Arial"/>
          <w:sz w:val="24"/>
          <w:szCs w:val="24"/>
        </w:rPr>
      </w:pPr>
    </w:p>
    <w:p w14:paraId="44E844ED" w14:textId="77777777" w:rsidR="00325753" w:rsidRPr="00915C09" w:rsidRDefault="00325753" w:rsidP="00325753">
      <w:pPr>
        <w:numPr>
          <w:ilvl w:val="0"/>
          <w:numId w:val="2"/>
        </w:numPr>
        <w:spacing w:after="0" w:line="240" w:lineRule="auto"/>
        <w:ind w:left="360"/>
        <w:rPr>
          <w:rFonts w:eastAsia="Calibri" w:cs="Arial"/>
          <w:sz w:val="24"/>
          <w:szCs w:val="24"/>
        </w:rPr>
      </w:pPr>
      <w:r w:rsidRPr="00915C09">
        <w:rPr>
          <w:rFonts w:eastAsia="Calibri" w:cs="Arial"/>
          <w:b/>
          <w:sz w:val="24"/>
          <w:szCs w:val="24"/>
        </w:rPr>
        <w:t>Family</w:t>
      </w:r>
      <w:r w:rsidRPr="00915C09">
        <w:rPr>
          <w:rFonts w:eastAsia="Calibri" w:cs="Arial"/>
          <w:sz w:val="24"/>
          <w:szCs w:val="24"/>
        </w:rPr>
        <w:t xml:space="preserve"> – Defined in </w:t>
      </w:r>
      <w:hyperlink r:id="rId70" w:history="1">
        <w:r w:rsidRPr="00915C09">
          <w:rPr>
            <w:rFonts w:eastAsia="Calibri" w:cs="Arial"/>
            <w:color w:val="0000FF"/>
            <w:sz w:val="24"/>
            <w:szCs w:val="24"/>
            <w:u w:val="single"/>
          </w:rPr>
          <w:t>20 CFR §675.300</w:t>
        </w:r>
      </w:hyperlink>
      <w:r w:rsidRPr="00915C09">
        <w:rPr>
          <w:rFonts w:eastAsia="Calibri" w:cs="Arial"/>
          <w:sz w:val="24"/>
          <w:szCs w:val="24"/>
        </w:rPr>
        <w:t xml:space="preserve"> as: two or more persons related by blood, marriage, or decree of court, who are living in a single residence, and are included in one or more of the following categories: </w:t>
      </w:r>
    </w:p>
    <w:p w14:paraId="1DA9226C" w14:textId="77777777" w:rsidR="00325753" w:rsidRPr="00915C09" w:rsidRDefault="00325753" w:rsidP="00325753">
      <w:pPr>
        <w:spacing w:after="0" w:line="240" w:lineRule="auto"/>
        <w:ind w:left="360" w:firstLine="360"/>
        <w:rPr>
          <w:rFonts w:eastAsia="Calibri" w:cs="Arial"/>
          <w:sz w:val="24"/>
          <w:szCs w:val="24"/>
        </w:rPr>
      </w:pPr>
      <w:r w:rsidRPr="00915C09">
        <w:rPr>
          <w:rFonts w:eastAsia="Calibri" w:cs="Arial"/>
          <w:sz w:val="24"/>
          <w:szCs w:val="24"/>
        </w:rPr>
        <w:t xml:space="preserve">(1) A married couple and dependent children; </w:t>
      </w:r>
    </w:p>
    <w:p w14:paraId="7C9A5967" w14:textId="77777777" w:rsidR="00325753" w:rsidRPr="00915C09" w:rsidRDefault="00325753" w:rsidP="00325753">
      <w:pPr>
        <w:spacing w:after="0" w:line="240" w:lineRule="auto"/>
        <w:ind w:left="360" w:firstLine="360"/>
        <w:rPr>
          <w:rFonts w:eastAsia="Calibri" w:cs="Arial"/>
          <w:sz w:val="24"/>
          <w:szCs w:val="24"/>
        </w:rPr>
      </w:pPr>
      <w:r w:rsidRPr="00915C09">
        <w:rPr>
          <w:rFonts w:eastAsia="Calibri" w:cs="Arial"/>
          <w:sz w:val="24"/>
          <w:szCs w:val="24"/>
        </w:rPr>
        <w:lastRenderedPageBreak/>
        <w:t xml:space="preserve">(2) A parent or guardian and dependent children; or </w:t>
      </w:r>
    </w:p>
    <w:p w14:paraId="4864D242" w14:textId="77777777" w:rsidR="00325753" w:rsidRPr="00915C09" w:rsidRDefault="00325753" w:rsidP="00325753">
      <w:pPr>
        <w:spacing w:after="0" w:line="240" w:lineRule="auto"/>
        <w:ind w:left="360" w:firstLine="360"/>
        <w:rPr>
          <w:rFonts w:eastAsia="Calibri" w:cs="Arial"/>
          <w:sz w:val="24"/>
          <w:szCs w:val="24"/>
        </w:rPr>
      </w:pPr>
      <w:r w:rsidRPr="00915C09">
        <w:rPr>
          <w:rFonts w:eastAsia="Calibri" w:cs="Arial"/>
          <w:sz w:val="24"/>
          <w:szCs w:val="24"/>
        </w:rPr>
        <w:t>(3) A married couple.</w:t>
      </w:r>
    </w:p>
    <w:p w14:paraId="5EE301F8" w14:textId="77777777" w:rsidR="00325753" w:rsidRPr="00915C09" w:rsidRDefault="00325753" w:rsidP="00325753">
      <w:pPr>
        <w:spacing w:after="0" w:line="240" w:lineRule="auto"/>
        <w:ind w:left="720"/>
        <w:rPr>
          <w:rFonts w:eastAsia="Calibri" w:cs="Arial"/>
          <w:sz w:val="24"/>
          <w:szCs w:val="24"/>
        </w:rPr>
      </w:pPr>
    </w:p>
    <w:p w14:paraId="45CF78AF" w14:textId="77777777" w:rsidR="00325753" w:rsidRPr="00915C09" w:rsidRDefault="00325753" w:rsidP="00325753">
      <w:pPr>
        <w:numPr>
          <w:ilvl w:val="0"/>
          <w:numId w:val="1"/>
        </w:numPr>
        <w:spacing w:after="0" w:line="240" w:lineRule="auto"/>
        <w:ind w:left="360"/>
        <w:rPr>
          <w:rFonts w:eastAsia="Calibri" w:cs="Arial"/>
          <w:iCs/>
          <w:sz w:val="24"/>
          <w:szCs w:val="24"/>
        </w:rPr>
      </w:pPr>
      <w:r w:rsidRPr="00915C09">
        <w:rPr>
          <w:rFonts w:eastAsia="Calibri" w:cs="Arial"/>
          <w:iCs/>
          <w:sz w:val="24"/>
          <w:szCs w:val="24"/>
        </w:rPr>
        <w:t xml:space="preserve">In </w:t>
      </w:r>
      <w:r w:rsidRPr="00915C09">
        <w:rPr>
          <w:rFonts w:eastAsia="Calibri" w:cs="Arial"/>
          <w:b/>
          <w:iCs/>
          <w:sz w:val="24"/>
          <w:szCs w:val="24"/>
        </w:rPr>
        <w:t>Foster Care</w:t>
      </w:r>
      <w:r w:rsidRPr="00915C09">
        <w:rPr>
          <w:rFonts w:eastAsia="Calibri" w:cs="Arial"/>
          <w:iCs/>
          <w:sz w:val="24"/>
          <w:szCs w:val="24"/>
        </w:rPr>
        <w:t xml:space="preserve"> or has aged out of the foster care system - </w:t>
      </w:r>
    </w:p>
    <w:p w14:paraId="4355B980" w14:textId="77777777" w:rsidR="00325753" w:rsidRPr="00915C09" w:rsidRDefault="00325753" w:rsidP="00325753">
      <w:pPr>
        <w:numPr>
          <w:ilvl w:val="1"/>
          <w:numId w:val="1"/>
        </w:numPr>
        <w:spacing w:after="120" w:line="240" w:lineRule="auto"/>
        <w:ind w:left="720"/>
        <w:rPr>
          <w:rFonts w:eastAsia="Calibri" w:cs="Arial"/>
          <w:iCs/>
          <w:sz w:val="24"/>
          <w:szCs w:val="24"/>
        </w:rPr>
      </w:pPr>
      <w:r w:rsidRPr="00915C09">
        <w:rPr>
          <w:rFonts w:eastAsia="Calibri" w:cs="Arial"/>
          <w:iCs/>
          <w:sz w:val="24"/>
          <w:szCs w:val="24"/>
        </w:rPr>
        <w:t xml:space="preserve">A child eligible for assistance under section 477 of the Social Security Act (42 U.S.C. 677), or </w:t>
      </w:r>
      <w:r w:rsidRPr="00915C09">
        <w:rPr>
          <w:rFonts w:eastAsia="Calibri" w:cs="Arial"/>
          <w:sz w:val="24"/>
          <w:szCs w:val="24"/>
        </w:rPr>
        <w:t>in an out of-home placement—e.g. group home residence, kinship care, residential treatment care</w:t>
      </w:r>
    </w:p>
    <w:p w14:paraId="4ABA3ADE" w14:textId="77777777" w:rsidR="00325753" w:rsidRPr="00915C09" w:rsidRDefault="00F61E66" w:rsidP="00325753">
      <w:pPr>
        <w:spacing w:after="120" w:line="240" w:lineRule="auto"/>
        <w:ind w:left="720" w:firstLine="720"/>
        <w:rPr>
          <w:rFonts w:eastAsia="Calibri" w:cs="Arial"/>
          <w:sz w:val="24"/>
          <w:szCs w:val="24"/>
        </w:rPr>
      </w:pPr>
      <w:hyperlink r:id="rId71" w:history="1">
        <w:r w:rsidR="00325753" w:rsidRPr="00915C09">
          <w:rPr>
            <w:rFonts w:eastAsia="Calibri" w:cs="Arial"/>
            <w:color w:val="0000FF"/>
            <w:sz w:val="24"/>
            <w:szCs w:val="24"/>
            <w:u w:val="single"/>
          </w:rPr>
          <w:t>http://www.ssa.gov/OP_Home/ssact/title04/0477.htm</w:t>
        </w:r>
      </w:hyperlink>
    </w:p>
    <w:p w14:paraId="6571288B"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Sec. 477 of the Social Security Act covers individuals served under the John H. Chafee Foster Care Independence Program</w:t>
      </w:r>
    </w:p>
    <w:p w14:paraId="412D4ACA" w14:textId="77777777" w:rsidR="00325753" w:rsidRPr="00915C09" w:rsidRDefault="00325753" w:rsidP="00325753">
      <w:pPr>
        <w:spacing w:after="0" w:line="240" w:lineRule="auto"/>
        <w:ind w:left="720"/>
        <w:rPr>
          <w:rFonts w:eastAsia="Calibri" w:cs="Arial"/>
          <w:sz w:val="24"/>
          <w:szCs w:val="24"/>
        </w:rPr>
      </w:pPr>
    </w:p>
    <w:p w14:paraId="019B0F9D" w14:textId="77777777" w:rsidR="00325753" w:rsidRPr="00915C09" w:rsidRDefault="00325753" w:rsidP="00325753">
      <w:pPr>
        <w:numPr>
          <w:ilvl w:val="0"/>
          <w:numId w:val="3"/>
        </w:numPr>
        <w:spacing w:after="120" w:line="240" w:lineRule="auto"/>
        <w:ind w:left="360"/>
        <w:rPr>
          <w:rFonts w:eastAsia="Calibri" w:cs="Arial"/>
          <w:sz w:val="24"/>
          <w:szCs w:val="24"/>
        </w:rPr>
      </w:pPr>
      <w:r w:rsidRPr="00915C09">
        <w:rPr>
          <w:rFonts w:eastAsia="Calibri" w:cs="Arial"/>
          <w:b/>
          <w:sz w:val="24"/>
          <w:szCs w:val="24"/>
        </w:rPr>
        <w:t>High Poverty Area</w:t>
      </w:r>
      <w:r w:rsidRPr="00915C09">
        <w:rPr>
          <w:rFonts w:eastAsia="Calibri" w:cs="Arial"/>
          <w:sz w:val="24"/>
          <w:szCs w:val="24"/>
        </w:rPr>
        <w:t xml:space="preserve"> – Defined by </w:t>
      </w:r>
      <w:hyperlink r:id="rId72" w:history="1">
        <w:r w:rsidRPr="00915C09">
          <w:rPr>
            <w:rFonts w:eastAsia="Calibri" w:cs="Arial"/>
            <w:color w:val="0000FF"/>
            <w:sz w:val="24"/>
            <w:szCs w:val="24"/>
            <w:u w:val="single"/>
          </w:rPr>
          <w:t>20 CFR §681.260</w:t>
        </w:r>
      </w:hyperlink>
      <w:r w:rsidRPr="00915C09">
        <w:rPr>
          <w:rFonts w:eastAsia="Calibri" w:cs="Arial"/>
          <w:sz w:val="24"/>
          <w:szCs w:val="24"/>
        </w:rPr>
        <w:t xml:space="preserve"> is a Census tract, a set of contiguous Census tracts, an American Indian Reservation, Oklahoma Tribal Statistical Area (as defined by the U.S. Census Bureau), Alaska Native Village Statistical Area or Alaska Native Regional Corporation Area, Native Hawaiian Homeland Area, or other tribal land as defined by the Secretary in guidance or county that has a poverty rate of at least 25 percent as set every 5 years using the </w:t>
      </w:r>
      <w:hyperlink r:id="rId73" w:history="1">
        <w:r w:rsidRPr="00915C09">
          <w:rPr>
            <w:rFonts w:eastAsia="Calibri" w:cs="Arial"/>
            <w:color w:val="0000FF"/>
            <w:sz w:val="24"/>
            <w:szCs w:val="24"/>
            <w:u w:val="single"/>
          </w:rPr>
          <w:t>American Community Survey 5-Year data</w:t>
        </w:r>
      </w:hyperlink>
      <w:r w:rsidRPr="00915C09">
        <w:rPr>
          <w:rFonts w:eastAsia="Calibri" w:cs="Arial"/>
          <w:sz w:val="24"/>
          <w:szCs w:val="24"/>
        </w:rPr>
        <w:t>.</w:t>
      </w:r>
    </w:p>
    <w:p w14:paraId="34B2A08D" w14:textId="77777777" w:rsidR="00325753" w:rsidRPr="00915C09" w:rsidRDefault="00F61E66" w:rsidP="00325753">
      <w:pPr>
        <w:spacing w:after="0" w:line="240" w:lineRule="auto"/>
        <w:ind w:left="360"/>
        <w:rPr>
          <w:rFonts w:eastAsia="Calibri" w:cs="Arial"/>
          <w:sz w:val="24"/>
          <w:szCs w:val="24"/>
        </w:rPr>
      </w:pPr>
      <w:hyperlink r:id="rId74" w:history="1">
        <w:r w:rsidR="00325753" w:rsidRPr="00915C09">
          <w:rPr>
            <w:rFonts w:eastAsia="Calibri" w:cs="Arial"/>
            <w:color w:val="0000FF"/>
            <w:sz w:val="24"/>
            <w:szCs w:val="24"/>
            <w:u w:val="single"/>
          </w:rPr>
          <w:t>TEGL 19-16, Attachment 2</w:t>
        </w:r>
      </w:hyperlink>
      <w:r w:rsidR="00325753" w:rsidRPr="00915C09">
        <w:rPr>
          <w:rFonts w:eastAsia="Calibri" w:cs="Arial"/>
          <w:sz w:val="24"/>
          <w:szCs w:val="24"/>
        </w:rPr>
        <w:t>, provides instructions for using census data to determine high-poverty geographical areas.</w:t>
      </w:r>
    </w:p>
    <w:p w14:paraId="43C602A3" w14:textId="77777777" w:rsidR="00325753" w:rsidRPr="00915C09" w:rsidRDefault="00325753" w:rsidP="00325753">
      <w:pPr>
        <w:spacing w:after="0" w:line="240" w:lineRule="auto"/>
        <w:rPr>
          <w:rFonts w:eastAsia="Calibri" w:cs="Arial"/>
          <w:sz w:val="24"/>
          <w:szCs w:val="24"/>
        </w:rPr>
      </w:pPr>
    </w:p>
    <w:p w14:paraId="1E5FFC26" w14:textId="77777777" w:rsidR="00325753" w:rsidRPr="00915C09" w:rsidRDefault="00325753" w:rsidP="00325753">
      <w:pPr>
        <w:numPr>
          <w:ilvl w:val="0"/>
          <w:numId w:val="1"/>
        </w:numPr>
        <w:spacing w:after="0" w:line="240" w:lineRule="auto"/>
        <w:ind w:left="360"/>
        <w:rPr>
          <w:rFonts w:eastAsia="Calibri" w:cs="Arial"/>
          <w:sz w:val="24"/>
          <w:szCs w:val="24"/>
        </w:rPr>
      </w:pPr>
      <w:r w:rsidRPr="00915C09">
        <w:rPr>
          <w:rFonts w:eastAsia="Calibri" w:cs="Arial"/>
          <w:b/>
          <w:sz w:val="24"/>
          <w:szCs w:val="24"/>
        </w:rPr>
        <w:t>Homeless</w:t>
      </w:r>
      <w:r w:rsidRPr="00915C09">
        <w:rPr>
          <w:rFonts w:eastAsia="Calibri" w:cs="Arial"/>
          <w:sz w:val="24"/>
          <w:szCs w:val="24"/>
        </w:rPr>
        <w:t xml:space="preserve"> </w:t>
      </w:r>
      <w:r w:rsidRPr="00915C09">
        <w:rPr>
          <w:rFonts w:eastAsia="Calibri" w:cs="Arial"/>
          <w:b/>
          <w:sz w:val="24"/>
          <w:szCs w:val="24"/>
        </w:rPr>
        <w:t>Individual</w:t>
      </w:r>
    </w:p>
    <w:p w14:paraId="63590030" w14:textId="77777777" w:rsidR="00325753" w:rsidRPr="00915C09" w:rsidRDefault="00325753" w:rsidP="00325753">
      <w:pPr>
        <w:numPr>
          <w:ilvl w:val="1"/>
          <w:numId w:val="1"/>
        </w:numPr>
        <w:spacing w:after="0" w:line="240" w:lineRule="auto"/>
        <w:ind w:left="720"/>
        <w:rPr>
          <w:rFonts w:eastAsia="Calibri" w:cs="Arial"/>
          <w:sz w:val="24"/>
          <w:szCs w:val="24"/>
        </w:rPr>
      </w:pPr>
      <w:r w:rsidRPr="00915C09">
        <w:rPr>
          <w:rFonts w:eastAsia="Calibri" w:cs="Arial"/>
          <w:sz w:val="24"/>
          <w:szCs w:val="24"/>
        </w:rPr>
        <w:t xml:space="preserve">defined in section 41403(6) of the </w:t>
      </w:r>
      <w:hyperlink r:id="rId75" w:history="1">
        <w:r w:rsidRPr="00915C09">
          <w:rPr>
            <w:rFonts w:eastAsia="Calibri" w:cs="Arial"/>
            <w:color w:val="0000FF"/>
            <w:sz w:val="24"/>
            <w:szCs w:val="24"/>
            <w:u w:val="single"/>
          </w:rPr>
          <w:t>Violence Against Women Act of 1994</w:t>
        </w:r>
      </w:hyperlink>
      <w:r w:rsidRPr="00915C09">
        <w:rPr>
          <w:rFonts w:eastAsia="Calibri" w:cs="Arial"/>
          <w:sz w:val="24"/>
          <w:szCs w:val="24"/>
        </w:rPr>
        <w:t xml:space="preserve"> (42 U.S.C. 14043e–2(6))</w:t>
      </w:r>
    </w:p>
    <w:p w14:paraId="68692F17"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the terms ‘‘homeless’’, ‘‘homeless individual’’, and ‘‘homeless person’’—</w:t>
      </w:r>
    </w:p>
    <w:p w14:paraId="264076A6"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(A) mean an individual who lacks a fixed, regular, and adequate nighttime residence; and</w:t>
      </w:r>
    </w:p>
    <w:p w14:paraId="12148A5C"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(B) includes—</w:t>
      </w:r>
    </w:p>
    <w:p w14:paraId="390CACE9"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(i) an individual who—</w:t>
      </w:r>
    </w:p>
    <w:p w14:paraId="3652370B"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(I) is sharing the housing of other persons due to loss of housing, economic hardship, or a similar reason;</w:t>
      </w:r>
    </w:p>
    <w:p w14:paraId="0B167704"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(II) is living in a motel, hotel, trailer park, or campground due to the lack of</w:t>
      </w:r>
    </w:p>
    <w:p w14:paraId="77E09C02"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alternative adequate accommodations;</w:t>
      </w:r>
    </w:p>
    <w:p w14:paraId="7ECDE478"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(III) is living in an emergency or transitional shelter;</w:t>
      </w:r>
    </w:p>
    <w:p w14:paraId="3BC2D797"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(IV) is abandoned in a hospital; or</w:t>
      </w:r>
    </w:p>
    <w:p w14:paraId="3CD58968"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(V) is awaiting foster care placement;</w:t>
      </w:r>
    </w:p>
    <w:p w14:paraId="6705348B"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(ii) an individual who has a primary nighttime residence that is a public or private place not designed for or ordinarily used as a regular sleeping accommodation for human beings; or</w:t>
      </w:r>
    </w:p>
    <w:p w14:paraId="4DBDA990" w14:textId="77777777" w:rsidR="00325753" w:rsidRPr="00915C09" w:rsidRDefault="00325753" w:rsidP="00325753">
      <w:pPr>
        <w:spacing w:after="100" w:afterAutospacing="1" w:line="240" w:lineRule="auto"/>
        <w:ind w:left="720"/>
        <w:rPr>
          <w:rFonts w:eastAsia="Calibri" w:cs="Arial"/>
          <w:sz w:val="24"/>
          <w:szCs w:val="24"/>
        </w:rPr>
      </w:pPr>
      <w:r w:rsidRPr="00915C09">
        <w:rPr>
          <w:rFonts w:eastAsia="Calibri" w:cs="Arial"/>
          <w:sz w:val="24"/>
          <w:szCs w:val="24"/>
        </w:rPr>
        <w:t>(iii) migratory children (as defined in section 6399 of title 20) who qualify as homeless under this section because the children are living in circumstances described in this paragraph.</w:t>
      </w:r>
    </w:p>
    <w:p w14:paraId="001ED6D4" w14:textId="77777777" w:rsidR="00325753" w:rsidRPr="00915C09" w:rsidRDefault="00325753" w:rsidP="00325753">
      <w:pPr>
        <w:numPr>
          <w:ilvl w:val="1"/>
          <w:numId w:val="1"/>
        </w:numPr>
        <w:spacing w:after="0" w:line="240" w:lineRule="auto"/>
        <w:ind w:left="720"/>
        <w:rPr>
          <w:rFonts w:eastAsia="Calibri" w:cs="Arial"/>
          <w:sz w:val="24"/>
          <w:szCs w:val="24"/>
        </w:rPr>
      </w:pPr>
      <w:r w:rsidRPr="00915C09">
        <w:rPr>
          <w:rFonts w:eastAsia="Calibri" w:cs="Arial"/>
          <w:sz w:val="24"/>
          <w:szCs w:val="24"/>
        </w:rPr>
        <w:lastRenderedPageBreak/>
        <w:t xml:space="preserve">A homeless child or youth (as defined in section 725(2) of the </w:t>
      </w:r>
      <w:hyperlink r:id="rId76" w:history="1">
        <w:r w:rsidRPr="00915C09">
          <w:rPr>
            <w:rFonts w:eastAsia="Calibri" w:cs="Arial"/>
            <w:color w:val="0000FF"/>
            <w:sz w:val="24"/>
            <w:szCs w:val="24"/>
            <w:u w:val="single"/>
          </w:rPr>
          <w:t>McKinney-Vento Homeless Assistance Act</w:t>
        </w:r>
      </w:hyperlink>
    </w:p>
    <w:p w14:paraId="3A242A81"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 xml:space="preserve">The term “homeless children and youths”— </w:t>
      </w:r>
    </w:p>
    <w:p w14:paraId="187F6624"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 xml:space="preserve">(A) means individuals who lack a fixed, regular, and adequate nighttime residence; and </w:t>
      </w:r>
    </w:p>
    <w:p w14:paraId="6A7E3BAE"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 xml:space="preserve">(B) includes— </w:t>
      </w:r>
    </w:p>
    <w:p w14:paraId="07C482CB"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 xml:space="preserve">(i)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 </w:t>
      </w:r>
    </w:p>
    <w:p w14:paraId="18DA4D89"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(ii) children and youths who have a primary nighttime residence that is a public or private place not designed for or ordinarily used as a regular sleeping accommodation for human beings;</w:t>
      </w:r>
    </w:p>
    <w:p w14:paraId="09DD458F"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 xml:space="preserve">(iii) children and youths who are living in cars, parks, public spaces, abandoned buildings, substandard housing, bus or train stations, or similar settings; and </w:t>
      </w:r>
    </w:p>
    <w:p w14:paraId="08C228B0" w14:textId="77777777" w:rsidR="00325753" w:rsidRPr="00915C09" w:rsidRDefault="00325753" w:rsidP="00325753">
      <w:pPr>
        <w:spacing w:after="120" w:line="240" w:lineRule="auto"/>
        <w:ind w:left="720"/>
        <w:rPr>
          <w:rFonts w:eastAsia="Calibri" w:cs="Arial"/>
          <w:b/>
          <w:sz w:val="24"/>
          <w:szCs w:val="24"/>
          <w:u w:val="single"/>
        </w:rPr>
      </w:pPr>
      <w:r w:rsidRPr="00915C09">
        <w:rPr>
          <w:rFonts w:eastAsia="Calibri" w:cs="Arial"/>
          <w:sz w:val="24"/>
          <w:szCs w:val="24"/>
        </w:rPr>
        <w:t>(iv) migratory children (as such term is defined in section 6399 of title 20) who qualify as homeless for the purposes of this part because the children are living in circumstances described in clauses (i) through (iii).</w:t>
      </w:r>
    </w:p>
    <w:p w14:paraId="1B9FA216" w14:textId="77777777" w:rsidR="00325753" w:rsidRPr="00915C09" w:rsidRDefault="00325753" w:rsidP="00325753">
      <w:pPr>
        <w:numPr>
          <w:ilvl w:val="1"/>
          <w:numId w:val="1"/>
        </w:numPr>
        <w:spacing w:after="0" w:line="240" w:lineRule="auto"/>
        <w:ind w:left="720"/>
        <w:rPr>
          <w:rFonts w:eastAsia="Calibri" w:cs="Arial"/>
          <w:sz w:val="24"/>
          <w:szCs w:val="24"/>
        </w:rPr>
      </w:pPr>
      <w:r w:rsidRPr="00915C09">
        <w:rPr>
          <w:rFonts w:eastAsia="Calibri" w:cs="Arial"/>
          <w:sz w:val="24"/>
          <w:szCs w:val="24"/>
        </w:rPr>
        <w:t>Runaway youth" shall mean a person under the age of eighteen years who is absent from his legal residence without the consent of his parent, legal guardian or custodian. (</w:t>
      </w:r>
      <w:hyperlink r:id="rId77" w:history="1">
        <w:r w:rsidRPr="00915C09">
          <w:rPr>
            <w:rFonts w:eastAsia="Calibri" w:cs="Arial"/>
            <w:color w:val="0000FF"/>
            <w:sz w:val="24"/>
            <w:szCs w:val="24"/>
            <w:u w:val="single"/>
          </w:rPr>
          <w:t>NYS Executive Law Article 19-H § 532 a.1</w:t>
        </w:r>
      </w:hyperlink>
      <w:r w:rsidRPr="00915C09">
        <w:rPr>
          <w:rFonts w:eastAsia="Calibri" w:cs="Arial"/>
          <w:sz w:val="24"/>
          <w:szCs w:val="24"/>
        </w:rPr>
        <w:t>)</w:t>
      </w:r>
    </w:p>
    <w:p w14:paraId="5619D7AB" w14:textId="77777777" w:rsidR="00325753" w:rsidRPr="00915C09" w:rsidRDefault="00325753" w:rsidP="00325753">
      <w:pPr>
        <w:spacing w:after="0" w:line="240" w:lineRule="auto"/>
        <w:ind w:left="720"/>
        <w:rPr>
          <w:rFonts w:eastAsia="Calibri" w:cs="Arial"/>
          <w:sz w:val="24"/>
          <w:szCs w:val="24"/>
        </w:rPr>
      </w:pPr>
    </w:p>
    <w:p w14:paraId="3873A55F" w14:textId="77777777" w:rsidR="00325753" w:rsidRPr="00915C09" w:rsidRDefault="00325753" w:rsidP="00325753">
      <w:pPr>
        <w:numPr>
          <w:ilvl w:val="0"/>
          <w:numId w:val="1"/>
        </w:numPr>
        <w:spacing w:after="0" w:line="240" w:lineRule="auto"/>
        <w:rPr>
          <w:rFonts w:eastAsia="Calibri" w:cs="Arial"/>
          <w:sz w:val="24"/>
          <w:szCs w:val="24"/>
        </w:rPr>
      </w:pPr>
      <w:r w:rsidRPr="00915C09">
        <w:rPr>
          <w:rFonts w:eastAsia="Calibri" w:cs="Arial"/>
          <w:b/>
          <w:sz w:val="24"/>
          <w:szCs w:val="24"/>
        </w:rPr>
        <w:t xml:space="preserve">Low Income </w:t>
      </w:r>
      <w:r w:rsidRPr="00915C09">
        <w:rPr>
          <w:rFonts w:eastAsia="Calibri" w:cs="Arial"/>
          <w:sz w:val="24"/>
          <w:szCs w:val="24"/>
        </w:rPr>
        <w:t xml:space="preserve">– Defined in </w:t>
      </w:r>
      <w:hyperlink r:id="rId78" w:history="1">
        <w:r w:rsidRPr="00915C09">
          <w:rPr>
            <w:rFonts w:eastAsia="Calibri" w:cs="Arial"/>
            <w:color w:val="0000FF"/>
            <w:sz w:val="24"/>
            <w:szCs w:val="24"/>
            <w:u w:val="single"/>
          </w:rPr>
          <w:t>WIOA Section 3(36)</w:t>
        </w:r>
      </w:hyperlink>
      <w:r w:rsidRPr="00915C09">
        <w:rPr>
          <w:rFonts w:eastAsia="Calibri" w:cs="Arial"/>
          <w:sz w:val="24"/>
          <w:szCs w:val="24"/>
        </w:rPr>
        <w:t xml:space="preserve">; Special Rule for Youth at </w:t>
      </w:r>
      <w:hyperlink r:id="rId79" w:history="1">
        <w:r w:rsidRPr="00915C09">
          <w:rPr>
            <w:rFonts w:eastAsia="Calibri" w:cs="Arial"/>
            <w:color w:val="0000FF"/>
            <w:sz w:val="24"/>
            <w:szCs w:val="24"/>
            <w:u w:val="single"/>
          </w:rPr>
          <w:t>Section 129(a)(2)</w:t>
        </w:r>
      </w:hyperlink>
    </w:p>
    <w:p w14:paraId="479BF6B7" w14:textId="77777777" w:rsidR="00325753" w:rsidRPr="00915C09" w:rsidRDefault="00325753" w:rsidP="00325753">
      <w:pPr>
        <w:numPr>
          <w:ilvl w:val="1"/>
          <w:numId w:val="1"/>
        </w:numPr>
        <w:spacing w:after="0" w:line="240" w:lineRule="auto"/>
        <w:ind w:left="1080"/>
        <w:rPr>
          <w:rFonts w:eastAsia="Calibri" w:cs="Arial"/>
          <w:sz w:val="24"/>
          <w:szCs w:val="24"/>
        </w:rPr>
      </w:pPr>
      <w:r w:rsidRPr="00915C09">
        <w:rPr>
          <w:rFonts w:eastAsia="Calibri" w:cs="Arial"/>
          <w:sz w:val="24"/>
          <w:szCs w:val="24"/>
        </w:rPr>
        <w:t>(A) IN GENERAL, the term ‘‘low-income individual’’ means an individual who—</w:t>
      </w:r>
    </w:p>
    <w:p w14:paraId="4554B614" w14:textId="77777777" w:rsidR="00325753" w:rsidRPr="00915C09" w:rsidRDefault="00325753" w:rsidP="00325753">
      <w:pPr>
        <w:numPr>
          <w:ilvl w:val="2"/>
          <w:numId w:val="1"/>
        </w:numPr>
        <w:spacing w:after="0" w:line="240" w:lineRule="auto"/>
        <w:ind w:left="1440"/>
        <w:rPr>
          <w:rFonts w:eastAsia="Calibri" w:cs="Arial"/>
          <w:sz w:val="24"/>
          <w:szCs w:val="24"/>
        </w:rPr>
      </w:pPr>
      <w:r w:rsidRPr="00915C09">
        <w:rPr>
          <w:rFonts w:eastAsia="Calibri" w:cs="Arial"/>
          <w:sz w:val="24"/>
          <w:szCs w:val="24"/>
        </w:rPr>
        <w:t>(i) receives, or in the past 6 months has received, or is a member of a family that is receiving or in the past 6 months has received, assistance through the supplemental nutrition assistance program established under the Food and Nutrition Act of 2008, the program of block grants to States for temporary assistance for needy families’ program, or the supplemental security income program established under title XVI of the Social Security Act, or State or local income-based public assistance;</w:t>
      </w:r>
    </w:p>
    <w:p w14:paraId="5DD9F0CF" w14:textId="77777777" w:rsidR="00325753" w:rsidRPr="00915C09" w:rsidRDefault="00325753" w:rsidP="00325753">
      <w:pPr>
        <w:numPr>
          <w:ilvl w:val="2"/>
          <w:numId w:val="1"/>
        </w:numPr>
        <w:spacing w:after="0" w:line="240" w:lineRule="auto"/>
        <w:ind w:left="1440"/>
        <w:rPr>
          <w:rFonts w:eastAsia="Calibri" w:cs="Arial"/>
          <w:sz w:val="24"/>
          <w:szCs w:val="24"/>
        </w:rPr>
      </w:pPr>
      <w:r w:rsidRPr="00915C09">
        <w:rPr>
          <w:rFonts w:eastAsia="Calibri" w:cs="Arial"/>
          <w:sz w:val="24"/>
          <w:szCs w:val="24"/>
        </w:rPr>
        <w:t>(ii) is in a family with total family income that does not exceed the higher of —</w:t>
      </w:r>
    </w:p>
    <w:p w14:paraId="0CF82359" w14:textId="77777777" w:rsidR="00325753" w:rsidRPr="00915C09" w:rsidRDefault="00325753" w:rsidP="00325753">
      <w:pPr>
        <w:numPr>
          <w:ilvl w:val="3"/>
          <w:numId w:val="1"/>
        </w:numPr>
        <w:spacing w:after="0" w:line="240" w:lineRule="auto"/>
        <w:ind w:left="1800"/>
        <w:rPr>
          <w:rFonts w:eastAsia="Calibri" w:cs="Arial"/>
          <w:sz w:val="24"/>
          <w:szCs w:val="24"/>
        </w:rPr>
      </w:pPr>
      <w:r w:rsidRPr="00915C09">
        <w:rPr>
          <w:rFonts w:eastAsia="Calibri" w:cs="Arial"/>
          <w:sz w:val="24"/>
          <w:szCs w:val="24"/>
        </w:rPr>
        <w:t>(I) the poverty line; or</w:t>
      </w:r>
    </w:p>
    <w:p w14:paraId="2670C142" w14:textId="77777777" w:rsidR="00325753" w:rsidRPr="00915C09" w:rsidRDefault="00325753" w:rsidP="00325753">
      <w:pPr>
        <w:numPr>
          <w:ilvl w:val="3"/>
          <w:numId w:val="1"/>
        </w:numPr>
        <w:spacing w:after="0" w:line="240" w:lineRule="auto"/>
        <w:ind w:left="1800"/>
        <w:rPr>
          <w:rFonts w:eastAsia="Calibri" w:cs="Arial"/>
          <w:sz w:val="24"/>
          <w:szCs w:val="24"/>
        </w:rPr>
      </w:pPr>
      <w:r w:rsidRPr="00915C09">
        <w:rPr>
          <w:rFonts w:eastAsia="Calibri" w:cs="Arial"/>
          <w:sz w:val="24"/>
          <w:szCs w:val="24"/>
        </w:rPr>
        <w:t>(II) 70 percent of the lower living standard income level;</w:t>
      </w:r>
    </w:p>
    <w:p w14:paraId="4EB2D618" w14:textId="77777777" w:rsidR="00325753" w:rsidRPr="00915C09" w:rsidRDefault="00325753" w:rsidP="00325753">
      <w:pPr>
        <w:numPr>
          <w:ilvl w:val="2"/>
          <w:numId w:val="1"/>
        </w:numPr>
        <w:spacing w:after="0" w:line="240" w:lineRule="auto"/>
        <w:ind w:left="1440"/>
        <w:rPr>
          <w:rFonts w:eastAsia="Calibri" w:cs="Arial"/>
          <w:sz w:val="24"/>
          <w:szCs w:val="24"/>
        </w:rPr>
      </w:pPr>
      <w:r w:rsidRPr="00915C09">
        <w:rPr>
          <w:rFonts w:eastAsia="Calibri" w:cs="Arial"/>
          <w:sz w:val="24"/>
          <w:szCs w:val="24"/>
        </w:rPr>
        <w:t>(iii) is a homeless individual (as defined above)</w:t>
      </w:r>
    </w:p>
    <w:p w14:paraId="3DCC3DBF" w14:textId="77777777" w:rsidR="00325753" w:rsidRPr="00915C09" w:rsidRDefault="00325753" w:rsidP="00325753">
      <w:pPr>
        <w:numPr>
          <w:ilvl w:val="2"/>
          <w:numId w:val="1"/>
        </w:numPr>
        <w:spacing w:after="0" w:line="240" w:lineRule="auto"/>
        <w:ind w:left="1440"/>
        <w:rPr>
          <w:rFonts w:eastAsia="Calibri" w:cs="Arial"/>
          <w:sz w:val="24"/>
          <w:szCs w:val="24"/>
        </w:rPr>
      </w:pPr>
      <w:r w:rsidRPr="00915C09">
        <w:rPr>
          <w:rFonts w:eastAsia="Calibri" w:cs="Arial"/>
          <w:sz w:val="24"/>
          <w:szCs w:val="24"/>
        </w:rPr>
        <w:t xml:space="preserve">(iv) receives or is eligible to receive a free or reduced-price lunch </w:t>
      </w:r>
    </w:p>
    <w:p w14:paraId="5F6998DC" w14:textId="77777777" w:rsidR="00325753" w:rsidRPr="00915C09" w:rsidRDefault="00325753" w:rsidP="00325753">
      <w:pPr>
        <w:numPr>
          <w:ilvl w:val="2"/>
          <w:numId w:val="1"/>
        </w:numPr>
        <w:spacing w:after="0" w:line="240" w:lineRule="auto"/>
        <w:ind w:left="1440"/>
        <w:rPr>
          <w:rFonts w:eastAsia="Calibri" w:cs="Arial"/>
          <w:sz w:val="24"/>
          <w:szCs w:val="24"/>
        </w:rPr>
      </w:pPr>
      <w:r w:rsidRPr="00915C09">
        <w:rPr>
          <w:rFonts w:eastAsia="Calibri" w:cs="Arial"/>
          <w:sz w:val="24"/>
          <w:szCs w:val="24"/>
        </w:rPr>
        <w:t>(v) is a foster child on behalf of whom State or local government payments are made; or</w:t>
      </w:r>
    </w:p>
    <w:p w14:paraId="711A0CE8" w14:textId="77777777" w:rsidR="00325753" w:rsidRPr="00915C09" w:rsidRDefault="00325753" w:rsidP="00325753">
      <w:pPr>
        <w:numPr>
          <w:ilvl w:val="2"/>
          <w:numId w:val="1"/>
        </w:numPr>
        <w:spacing w:after="120" w:line="240" w:lineRule="auto"/>
        <w:ind w:left="1440"/>
        <w:rPr>
          <w:rFonts w:eastAsia="Calibri" w:cs="Arial"/>
          <w:sz w:val="24"/>
          <w:szCs w:val="24"/>
        </w:rPr>
      </w:pPr>
      <w:r w:rsidRPr="00915C09">
        <w:rPr>
          <w:rFonts w:eastAsia="Calibri" w:cs="Arial"/>
          <w:sz w:val="24"/>
          <w:szCs w:val="24"/>
        </w:rPr>
        <w:t>(vi) is an individual with a disability whose own income meets the income requirement of clause (ii), but who is a member of a family whose income does not meet this requirement.</w:t>
      </w:r>
    </w:p>
    <w:p w14:paraId="0F6E0A15" w14:textId="77777777" w:rsidR="00325753" w:rsidRPr="00915C09" w:rsidRDefault="00325753" w:rsidP="00325753">
      <w:pPr>
        <w:numPr>
          <w:ilvl w:val="1"/>
          <w:numId w:val="1"/>
        </w:numPr>
        <w:spacing w:after="0" w:line="240" w:lineRule="auto"/>
        <w:ind w:left="1080"/>
        <w:rPr>
          <w:rFonts w:eastAsia="Calibri" w:cs="Arial"/>
          <w:sz w:val="24"/>
          <w:szCs w:val="24"/>
        </w:rPr>
      </w:pPr>
      <w:r w:rsidRPr="00915C09">
        <w:rPr>
          <w:rFonts w:eastAsia="Calibri" w:cs="Arial"/>
          <w:sz w:val="24"/>
          <w:szCs w:val="24"/>
        </w:rPr>
        <w:t xml:space="preserve">(B) LOWER LIVING STANDARD INCOME LEVEL. — The term ‘‘lower living standard income level’’ means that income level (adjusted for regional, metropolitan, urban, </w:t>
      </w:r>
      <w:r w:rsidRPr="00915C09">
        <w:rPr>
          <w:rFonts w:eastAsia="Calibri" w:cs="Arial"/>
          <w:sz w:val="24"/>
          <w:szCs w:val="24"/>
        </w:rPr>
        <w:lastRenderedPageBreak/>
        <w:t>and rural differences and family size) determined annually by the Secretary of Labor based on the most recent lower living family budget issued by the Secretary.</w:t>
      </w:r>
    </w:p>
    <w:p w14:paraId="0B858D64" w14:textId="77777777" w:rsidR="00325753" w:rsidRPr="00915C09" w:rsidRDefault="00325753" w:rsidP="00325753">
      <w:pPr>
        <w:spacing w:after="0" w:line="240" w:lineRule="auto"/>
        <w:ind w:left="1080"/>
        <w:contextualSpacing/>
        <w:rPr>
          <w:rFonts w:eastAsia="Calibri" w:cs="Arial"/>
          <w:sz w:val="24"/>
          <w:szCs w:val="24"/>
        </w:rPr>
      </w:pPr>
    </w:p>
    <w:p w14:paraId="1D8DECED" w14:textId="77777777" w:rsidR="00325753" w:rsidRPr="00915C09" w:rsidRDefault="00325753" w:rsidP="00325753">
      <w:pPr>
        <w:numPr>
          <w:ilvl w:val="1"/>
          <w:numId w:val="1"/>
        </w:numPr>
        <w:spacing w:after="0" w:line="240" w:lineRule="auto"/>
        <w:ind w:left="1080"/>
        <w:contextualSpacing/>
        <w:rPr>
          <w:rFonts w:eastAsia="Calibri" w:cs="Arial"/>
          <w:sz w:val="24"/>
          <w:szCs w:val="24"/>
        </w:rPr>
      </w:pPr>
      <w:r w:rsidRPr="00915C09">
        <w:rPr>
          <w:rFonts w:eastAsia="Calibri" w:cs="Arial"/>
          <w:sz w:val="24"/>
          <w:szCs w:val="24"/>
        </w:rPr>
        <w:t xml:space="preserve">Section 129(a)(2) expands the WIOA definition of low-income for youth to include youth living in a high-poverty area.  </w:t>
      </w:r>
    </w:p>
    <w:p w14:paraId="68C71165" w14:textId="77777777" w:rsidR="00325753" w:rsidRPr="00915C09" w:rsidRDefault="00325753" w:rsidP="00325753">
      <w:pPr>
        <w:spacing w:after="0" w:line="240" w:lineRule="auto"/>
        <w:ind w:left="1080"/>
        <w:contextualSpacing/>
        <w:rPr>
          <w:rFonts w:eastAsia="Calibri" w:cs="Arial"/>
          <w:sz w:val="24"/>
          <w:szCs w:val="24"/>
        </w:rPr>
      </w:pPr>
    </w:p>
    <w:p w14:paraId="37F32C9A"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b/>
          <w:sz w:val="24"/>
          <w:szCs w:val="24"/>
          <w:u w:val="single"/>
        </w:rPr>
        <w:t>Note</w:t>
      </w:r>
      <w:r w:rsidRPr="00915C09">
        <w:rPr>
          <w:rFonts w:eastAsia="Calibri" w:cs="Arial"/>
          <w:sz w:val="24"/>
          <w:szCs w:val="24"/>
        </w:rPr>
        <w:t>: Under WIOA, there is no exclusion of payments for unemployment compensation, child support payments, and old-age survivors’ insurance benefits from the income calculations for determining if an individual is low-income (</w:t>
      </w:r>
      <w:hyperlink r:id="rId80" w:history="1">
        <w:r w:rsidRPr="00915C09">
          <w:rPr>
            <w:rFonts w:eastAsia="Calibri" w:cs="Arial"/>
            <w:color w:val="0000FF"/>
            <w:sz w:val="24"/>
            <w:szCs w:val="24"/>
            <w:u w:val="single"/>
          </w:rPr>
          <w:t>TEGL 19-16</w:t>
        </w:r>
      </w:hyperlink>
      <w:r w:rsidRPr="00915C09">
        <w:rPr>
          <w:rFonts w:eastAsia="Calibri" w:cs="Arial"/>
          <w:sz w:val="24"/>
          <w:szCs w:val="24"/>
        </w:rPr>
        <w:t xml:space="preserve">, pg. 9); see also </w:t>
      </w:r>
      <w:hyperlink r:id="rId81" w:history="1">
        <w:r w:rsidRPr="00915C09">
          <w:rPr>
            <w:rFonts w:eastAsia="Calibri" w:cs="Arial"/>
            <w:color w:val="0000FF"/>
            <w:sz w:val="24"/>
            <w:szCs w:val="24"/>
            <w:u w:val="single"/>
          </w:rPr>
          <w:t>TEGL 21-16</w:t>
        </w:r>
      </w:hyperlink>
    </w:p>
    <w:p w14:paraId="0702F2C8" w14:textId="77777777" w:rsidR="00325753" w:rsidRPr="00915C09" w:rsidRDefault="00325753" w:rsidP="00325753">
      <w:pPr>
        <w:spacing w:after="0" w:line="240" w:lineRule="auto"/>
        <w:rPr>
          <w:rFonts w:eastAsia="Calibri" w:cs="Arial"/>
          <w:sz w:val="24"/>
          <w:szCs w:val="24"/>
        </w:rPr>
      </w:pPr>
    </w:p>
    <w:p w14:paraId="1728862D" w14:textId="77777777" w:rsidR="00325753" w:rsidRPr="00915C09" w:rsidRDefault="00325753" w:rsidP="00325753">
      <w:pPr>
        <w:numPr>
          <w:ilvl w:val="0"/>
          <w:numId w:val="1"/>
        </w:numPr>
        <w:spacing w:after="0" w:line="240" w:lineRule="auto"/>
        <w:ind w:left="360"/>
        <w:rPr>
          <w:rFonts w:eastAsia="Calibri" w:cs="Arial"/>
          <w:b/>
          <w:sz w:val="24"/>
          <w:szCs w:val="24"/>
        </w:rPr>
      </w:pPr>
      <w:r w:rsidRPr="00915C09">
        <w:rPr>
          <w:rFonts w:eastAsia="Calibri" w:cs="Arial"/>
          <w:b/>
          <w:color w:val="333333"/>
          <w:sz w:val="24"/>
          <w:szCs w:val="24"/>
          <w:lang w:val="en"/>
        </w:rPr>
        <w:t xml:space="preserve">Offender  </w:t>
      </w:r>
    </w:p>
    <w:p w14:paraId="08B02393" w14:textId="77777777" w:rsidR="00325753" w:rsidRPr="00915C09" w:rsidRDefault="00325753" w:rsidP="00325753">
      <w:pPr>
        <w:numPr>
          <w:ilvl w:val="1"/>
          <w:numId w:val="1"/>
        </w:numPr>
        <w:spacing w:after="0" w:line="240" w:lineRule="auto"/>
        <w:ind w:left="720"/>
        <w:rPr>
          <w:rFonts w:eastAsia="Calibri" w:cs="Arial"/>
          <w:sz w:val="24"/>
          <w:szCs w:val="24"/>
        </w:rPr>
      </w:pPr>
      <w:r w:rsidRPr="00915C09">
        <w:rPr>
          <w:rFonts w:eastAsia="Calibri" w:cs="Arial"/>
          <w:sz w:val="24"/>
          <w:szCs w:val="24"/>
        </w:rPr>
        <w:t xml:space="preserve">Defined in </w:t>
      </w:r>
      <w:hyperlink r:id="rId82" w:history="1">
        <w:r w:rsidRPr="00915C09">
          <w:rPr>
            <w:rFonts w:eastAsia="Calibri" w:cs="Arial"/>
            <w:color w:val="0000FF"/>
            <w:sz w:val="24"/>
            <w:szCs w:val="24"/>
            <w:u w:val="single"/>
          </w:rPr>
          <w:t>WIOA Section 3(38)</w:t>
        </w:r>
      </w:hyperlink>
      <w:r w:rsidRPr="00915C09">
        <w:rPr>
          <w:rFonts w:eastAsia="Calibri" w:cs="Arial"/>
          <w:sz w:val="24"/>
          <w:szCs w:val="24"/>
        </w:rPr>
        <w:t xml:space="preserve"> - The term ‘‘offender’’ means an adult or juvenile—</w:t>
      </w:r>
    </w:p>
    <w:p w14:paraId="68516CDB" w14:textId="77777777" w:rsidR="00325753" w:rsidRPr="00915C09" w:rsidRDefault="00325753" w:rsidP="00325753">
      <w:pPr>
        <w:spacing w:after="0" w:line="240" w:lineRule="auto"/>
        <w:ind w:left="720"/>
        <w:rPr>
          <w:rFonts w:eastAsia="Calibri" w:cs="Arial"/>
          <w:sz w:val="24"/>
          <w:szCs w:val="24"/>
        </w:rPr>
      </w:pPr>
      <w:r w:rsidRPr="00915C09">
        <w:rPr>
          <w:rFonts w:eastAsia="Calibri" w:cs="Arial"/>
          <w:sz w:val="24"/>
          <w:szCs w:val="24"/>
        </w:rPr>
        <w:t>(A) who is or has been subject to any stage of the criminal justice process, and for whom services under this Act may be beneficial; or</w:t>
      </w:r>
    </w:p>
    <w:p w14:paraId="16C9FF14" w14:textId="77777777" w:rsidR="00325753" w:rsidRPr="00915C09" w:rsidRDefault="00325753" w:rsidP="00325753">
      <w:pPr>
        <w:spacing w:after="120" w:line="240" w:lineRule="auto"/>
        <w:ind w:left="720"/>
        <w:rPr>
          <w:rFonts w:eastAsia="Calibri" w:cs="Arial"/>
          <w:sz w:val="24"/>
          <w:szCs w:val="24"/>
        </w:rPr>
      </w:pPr>
      <w:r w:rsidRPr="00915C09">
        <w:rPr>
          <w:rFonts w:eastAsia="Calibri" w:cs="Arial"/>
          <w:sz w:val="24"/>
          <w:szCs w:val="24"/>
        </w:rPr>
        <w:t>(B) who requires assistance in overcoming artificial barriers to employment resulting from a record of arrest or conviction.</w:t>
      </w:r>
    </w:p>
    <w:p w14:paraId="5E4B5CDC" w14:textId="77777777" w:rsidR="00325753" w:rsidRPr="00915C09" w:rsidRDefault="00325753" w:rsidP="00325753">
      <w:pPr>
        <w:numPr>
          <w:ilvl w:val="1"/>
          <w:numId w:val="1"/>
        </w:numPr>
        <w:spacing w:after="0" w:line="240" w:lineRule="auto"/>
        <w:ind w:left="720"/>
        <w:rPr>
          <w:rFonts w:eastAsia="Calibri" w:cs="Arial"/>
          <w:sz w:val="24"/>
          <w:szCs w:val="24"/>
        </w:rPr>
      </w:pPr>
      <w:r w:rsidRPr="00915C09">
        <w:rPr>
          <w:rFonts w:eastAsia="Calibri" w:cs="Arial"/>
          <w:sz w:val="24"/>
          <w:szCs w:val="24"/>
        </w:rPr>
        <w:t xml:space="preserve">See also, </w:t>
      </w:r>
      <w:hyperlink r:id="rId83" w:history="1">
        <w:r w:rsidRPr="00915C09">
          <w:rPr>
            <w:rFonts w:eastAsia="Calibri" w:cs="Arial"/>
            <w:color w:val="0000FF"/>
            <w:sz w:val="24"/>
            <w:szCs w:val="24"/>
            <w:u w:val="single"/>
          </w:rPr>
          <w:t>TEGL 21-16</w:t>
        </w:r>
      </w:hyperlink>
      <w:r w:rsidRPr="00915C09">
        <w:rPr>
          <w:rFonts w:eastAsia="Calibri" w:cs="Arial"/>
          <w:sz w:val="24"/>
          <w:szCs w:val="24"/>
        </w:rPr>
        <w:t xml:space="preserve">, </w:t>
      </w:r>
      <w:hyperlink r:id="rId84" w:history="1">
        <w:r w:rsidRPr="00915C09">
          <w:rPr>
            <w:rFonts w:eastAsia="Calibri" w:cs="Arial"/>
            <w:color w:val="0000FF"/>
            <w:sz w:val="24"/>
            <w:szCs w:val="24"/>
            <w:u w:val="single"/>
          </w:rPr>
          <w:t>TA 11-12.2</w:t>
        </w:r>
      </w:hyperlink>
    </w:p>
    <w:p w14:paraId="0C363F6A" w14:textId="77777777" w:rsidR="00325753" w:rsidRPr="00915C09" w:rsidRDefault="00325753" w:rsidP="00325753">
      <w:pPr>
        <w:spacing w:after="0" w:line="240" w:lineRule="auto"/>
        <w:rPr>
          <w:rFonts w:eastAsia="Calibri" w:cs="Arial"/>
          <w:sz w:val="24"/>
          <w:szCs w:val="24"/>
        </w:rPr>
      </w:pPr>
    </w:p>
    <w:p w14:paraId="182B70AB" w14:textId="77777777" w:rsidR="00325753" w:rsidRPr="00915C09" w:rsidRDefault="00325753" w:rsidP="00325753">
      <w:pPr>
        <w:numPr>
          <w:ilvl w:val="0"/>
          <w:numId w:val="1"/>
        </w:numPr>
        <w:spacing w:after="0" w:line="240" w:lineRule="auto"/>
        <w:ind w:left="360"/>
        <w:rPr>
          <w:rFonts w:eastAsia="Calibri" w:cs="Arial"/>
          <w:sz w:val="24"/>
          <w:szCs w:val="24"/>
        </w:rPr>
      </w:pPr>
      <w:r w:rsidRPr="00915C09">
        <w:rPr>
          <w:rFonts w:eastAsia="Calibri" w:cs="Arial"/>
          <w:b/>
          <w:sz w:val="24"/>
          <w:szCs w:val="24"/>
        </w:rPr>
        <w:t>Pregnant or Parenting</w:t>
      </w:r>
      <w:r w:rsidRPr="00915C09">
        <w:rPr>
          <w:rFonts w:eastAsia="Calibri" w:cs="Arial"/>
          <w:sz w:val="24"/>
          <w:szCs w:val="24"/>
        </w:rPr>
        <w:t xml:space="preserve"> </w:t>
      </w:r>
    </w:p>
    <w:p w14:paraId="558E1B93" w14:textId="77777777" w:rsidR="00325753" w:rsidRPr="00915C09" w:rsidRDefault="00325753" w:rsidP="00325753">
      <w:pPr>
        <w:numPr>
          <w:ilvl w:val="1"/>
          <w:numId w:val="1"/>
        </w:numPr>
        <w:spacing w:after="0" w:line="240" w:lineRule="auto"/>
        <w:ind w:left="720"/>
        <w:rPr>
          <w:rFonts w:eastAsia="Calibri" w:cs="Arial"/>
          <w:sz w:val="24"/>
          <w:szCs w:val="24"/>
        </w:rPr>
      </w:pPr>
      <w:r w:rsidRPr="00915C09">
        <w:rPr>
          <w:rFonts w:eastAsia="Calibri" w:cs="Arial"/>
          <w:sz w:val="24"/>
          <w:szCs w:val="24"/>
        </w:rPr>
        <w:t xml:space="preserve">Defined in </w:t>
      </w:r>
      <w:hyperlink r:id="rId85" w:history="1">
        <w:r w:rsidRPr="00915C09">
          <w:rPr>
            <w:rFonts w:eastAsia="Calibri" w:cs="Arial"/>
            <w:color w:val="0000FF"/>
            <w:sz w:val="24"/>
            <w:szCs w:val="24"/>
            <w:u w:val="single"/>
          </w:rPr>
          <w:t>TEGL 21-16</w:t>
        </w:r>
      </w:hyperlink>
      <w:r w:rsidRPr="00915C09">
        <w:rPr>
          <w:rFonts w:eastAsia="Calibri" w:cs="Arial"/>
          <w:sz w:val="24"/>
          <w:szCs w:val="24"/>
        </w:rPr>
        <w:t xml:space="preserve"> as an individual who is parenting can be a mother or father, custodial or non-custodial.  A pregnant individual can only be the expectant mother.</w:t>
      </w:r>
    </w:p>
    <w:p w14:paraId="47C4ACDF" w14:textId="77777777" w:rsidR="00325753" w:rsidRPr="00915C09" w:rsidRDefault="00325753" w:rsidP="00325753">
      <w:pPr>
        <w:spacing w:after="0" w:line="240" w:lineRule="auto"/>
        <w:rPr>
          <w:rFonts w:eastAsia="Calibri" w:cs="Arial"/>
          <w:sz w:val="24"/>
          <w:szCs w:val="24"/>
        </w:rPr>
      </w:pPr>
    </w:p>
    <w:p w14:paraId="5F28B203" w14:textId="77777777" w:rsidR="00325753" w:rsidRPr="00915C09" w:rsidRDefault="00325753" w:rsidP="00325753">
      <w:pPr>
        <w:numPr>
          <w:ilvl w:val="0"/>
          <w:numId w:val="8"/>
        </w:numPr>
        <w:spacing w:after="0" w:line="240" w:lineRule="auto"/>
        <w:ind w:left="360"/>
        <w:contextualSpacing/>
        <w:rPr>
          <w:rFonts w:eastAsia="Calibri" w:cs="Times New Roman"/>
          <w:b/>
          <w:bCs/>
          <w:sz w:val="24"/>
          <w:szCs w:val="24"/>
        </w:rPr>
      </w:pPr>
      <w:r w:rsidRPr="00915C09">
        <w:rPr>
          <w:rFonts w:eastAsia="Calibri" w:cs="Times New Roman"/>
          <w:b/>
          <w:bCs/>
          <w:sz w:val="24"/>
          <w:szCs w:val="24"/>
        </w:rPr>
        <w:t xml:space="preserve">Recognized Postsecondary Credential </w:t>
      </w:r>
      <w:hyperlink r:id="rId86" w:history="1">
        <w:r w:rsidRPr="00915C09">
          <w:rPr>
            <w:rFonts w:eastAsia="Calibri" w:cs="Arial"/>
            <w:color w:val="0000FF"/>
            <w:sz w:val="24"/>
            <w:szCs w:val="24"/>
            <w:u w:val="single"/>
          </w:rPr>
          <w:t>TEGL 10-16, Change 1</w:t>
        </w:r>
      </w:hyperlink>
      <w:r w:rsidRPr="00915C09">
        <w:rPr>
          <w:rFonts w:eastAsia="Calibri" w:cs="Times New Roman"/>
          <w:b/>
          <w:bCs/>
          <w:sz w:val="24"/>
          <w:szCs w:val="24"/>
        </w:rPr>
        <w:t xml:space="preserve"> </w:t>
      </w:r>
    </w:p>
    <w:p w14:paraId="37421679" w14:textId="77777777" w:rsidR="00325753" w:rsidRPr="00915C09" w:rsidRDefault="00325753" w:rsidP="00325753">
      <w:pPr>
        <w:numPr>
          <w:ilvl w:val="1"/>
          <w:numId w:val="8"/>
        </w:numPr>
        <w:spacing w:after="120" w:line="240" w:lineRule="auto"/>
        <w:ind w:left="720"/>
        <w:rPr>
          <w:rFonts w:eastAsia="Calibri" w:cs="Arial"/>
          <w:sz w:val="24"/>
          <w:szCs w:val="24"/>
        </w:rPr>
      </w:pPr>
      <w:r w:rsidRPr="00915C09">
        <w:rPr>
          <w:rFonts w:eastAsia="Calibri" w:cs="Arial"/>
          <w:sz w:val="24"/>
          <w:szCs w:val="24"/>
        </w:rPr>
        <w:t>A recognized postsecondary credential is defined as a credential consisting of an industry-recognized certificate or certification, a certificate of completion of an apprenticeship, a license recognized by the State involved or Federal government, or an associate or baccalaureate degree, as well as graduate degrees for purposes of the VR program as required by section 103(a)(5) of the Rehabilitation Act of 1973, as amended by title IV of WIOA. A recognized postsecondary credential is awarded in recognition of an individual’s attainment of measurable technical or industry/occupational skills necessary to obtain employment or advance within an industry/occupation. These technical or industry/occupational skills generally are based on standards developed or endorsed by employers or industry associations.</w:t>
      </w:r>
    </w:p>
    <w:p w14:paraId="7D6503AF" w14:textId="77777777" w:rsidR="00325753" w:rsidRPr="00915C09" w:rsidRDefault="00325753" w:rsidP="00325753">
      <w:pPr>
        <w:numPr>
          <w:ilvl w:val="1"/>
          <w:numId w:val="8"/>
        </w:numPr>
        <w:spacing w:after="0" w:line="240" w:lineRule="auto"/>
        <w:ind w:left="720"/>
        <w:contextualSpacing/>
        <w:rPr>
          <w:rFonts w:eastAsia="Calibri" w:cs="Arial"/>
          <w:sz w:val="24"/>
          <w:szCs w:val="24"/>
        </w:rPr>
      </w:pPr>
      <w:r w:rsidRPr="00915C09">
        <w:rPr>
          <w:rFonts w:eastAsia="Calibri" w:cs="Arial"/>
          <w:sz w:val="24"/>
          <w:szCs w:val="24"/>
        </w:rPr>
        <w:t>See also resources section below.</w:t>
      </w:r>
    </w:p>
    <w:p w14:paraId="274B47B6" w14:textId="77777777" w:rsidR="00325753" w:rsidRPr="00915C09" w:rsidRDefault="00325753" w:rsidP="00325753">
      <w:pPr>
        <w:spacing w:after="0" w:line="240" w:lineRule="auto"/>
        <w:ind w:left="720"/>
        <w:rPr>
          <w:rFonts w:eastAsia="Calibri" w:cs="Arial"/>
          <w:sz w:val="24"/>
          <w:szCs w:val="24"/>
        </w:rPr>
      </w:pPr>
    </w:p>
    <w:p w14:paraId="0E0AE3C4" w14:textId="77777777" w:rsidR="00325753" w:rsidRPr="00915C09" w:rsidRDefault="00325753" w:rsidP="00325753">
      <w:pPr>
        <w:numPr>
          <w:ilvl w:val="0"/>
          <w:numId w:val="2"/>
        </w:numPr>
        <w:spacing w:after="0" w:line="240" w:lineRule="auto"/>
        <w:ind w:left="360"/>
        <w:rPr>
          <w:rFonts w:eastAsia="Calibri" w:cs="Arial"/>
          <w:sz w:val="24"/>
          <w:szCs w:val="24"/>
        </w:rPr>
      </w:pPr>
      <w:r w:rsidRPr="00915C09">
        <w:rPr>
          <w:rFonts w:eastAsia="Calibri" w:cs="Arial"/>
          <w:b/>
          <w:sz w:val="24"/>
          <w:szCs w:val="24"/>
        </w:rPr>
        <w:t>Requires (Needs) Additional Assistance</w:t>
      </w:r>
      <w:r w:rsidRPr="00915C09">
        <w:rPr>
          <w:rFonts w:eastAsia="Calibri" w:cs="Arial"/>
          <w:sz w:val="24"/>
          <w:szCs w:val="24"/>
        </w:rPr>
        <w:t xml:space="preserve"> (</w:t>
      </w:r>
      <w:hyperlink r:id="rId87" w:history="1">
        <w:r w:rsidRPr="00915C09">
          <w:rPr>
            <w:rFonts w:eastAsia="Calibri" w:cs="Arial"/>
            <w:color w:val="0000FF"/>
            <w:sz w:val="24"/>
            <w:szCs w:val="24"/>
            <w:u w:val="single"/>
          </w:rPr>
          <w:t>CFR §681.310</w:t>
        </w:r>
      </w:hyperlink>
      <w:r w:rsidRPr="00915C09">
        <w:rPr>
          <w:rFonts w:eastAsia="Calibri" w:cs="Arial"/>
          <w:sz w:val="24"/>
          <w:szCs w:val="24"/>
        </w:rPr>
        <w:t>) to complete an educational program or to secure and hold employment</w:t>
      </w:r>
    </w:p>
    <w:p w14:paraId="52D09717" w14:textId="77777777" w:rsidR="00325753" w:rsidRPr="00915C09" w:rsidRDefault="00325753" w:rsidP="00325753">
      <w:pPr>
        <w:numPr>
          <w:ilvl w:val="1"/>
          <w:numId w:val="2"/>
        </w:numPr>
        <w:spacing w:after="0" w:line="240" w:lineRule="auto"/>
        <w:ind w:left="720"/>
        <w:rPr>
          <w:rFonts w:eastAsia="Calibri" w:cs="Arial"/>
          <w:sz w:val="24"/>
          <w:szCs w:val="24"/>
        </w:rPr>
      </w:pPr>
      <w:r w:rsidRPr="00915C09">
        <w:rPr>
          <w:rFonts w:eastAsia="Calibri" w:cs="Arial"/>
          <w:sz w:val="24"/>
          <w:szCs w:val="24"/>
        </w:rPr>
        <w:t>Must be determined by LWDB policy and will likely differ from one Local Area to the next.</w:t>
      </w:r>
    </w:p>
    <w:p w14:paraId="274132BC" w14:textId="77777777" w:rsidR="00325753" w:rsidRPr="00915C09" w:rsidRDefault="00325753" w:rsidP="00325753">
      <w:pPr>
        <w:numPr>
          <w:ilvl w:val="1"/>
          <w:numId w:val="2"/>
        </w:numPr>
        <w:spacing w:after="0" w:line="240" w:lineRule="auto"/>
        <w:ind w:left="720"/>
        <w:rPr>
          <w:rFonts w:eastAsia="Calibri" w:cs="Arial"/>
          <w:sz w:val="24"/>
          <w:szCs w:val="24"/>
        </w:rPr>
      </w:pPr>
      <w:r w:rsidRPr="00915C09">
        <w:rPr>
          <w:rFonts w:eastAsia="Calibri" w:cs="Arial"/>
          <w:sz w:val="24"/>
          <w:szCs w:val="24"/>
        </w:rPr>
        <w:t>In each local area, not more than 5% of the ISY newly enrolled in a given program year may be eligible using this barrier (</w:t>
      </w:r>
      <w:hyperlink r:id="rId88" w:history="1">
        <w:r w:rsidRPr="00915C09">
          <w:rPr>
            <w:rFonts w:eastAsia="Calibri" w:cs="Arial"/>
            <w:color w:val="0000FF"/>
            <w:sz w:val="24"/>
            <w:szCs w:val="24"/>
            <w:u w:val="single"/>
          </w:rPr>
          <w:t>CFR §681.310</w:t>
        </w:r>
      </w:hyperlink>
      <w:r w:rsidRPr="00915C09">
        <w:rPr>
          <w:rFonts w:eastAsia="Calibri" w:cs="Arial"/>
          <w:color w:val="0000FF"/>
          <w:sz w:val="24"/>
          <w:szCs w:val="24"/>
          <w:u w:val="single"/>
        </w:rPr>
        <w:t>(b)).</w:t>
      </w:r>
    </w:p>
    <w:p w14:paraId="0B4426EC" w14:textId="77777777" w:rsidR="00325753" w:rsidRPr="00915C09" w:rsidRDefault="00325753" w:rsidP="00325753">
      <w:pPr>
        <w:spacing w:after="0" w:line="240" w:lineRule="auto"/>
        <w:ind w:left="720"/>
        <w:rPr>
          <w:rFonts w:eastAsia="Calibri" w:cs="Arial"/>
          <w:sz w:val="24"/>
          <w:szCs w:val="24"/>
        </w:rPr>
      </w:pPr>
    </w:p>
    <w:p w14:paraId="5095F04B" w14:textId="77777777" w:rsidR="00325753" w:rsidRPr="00915C09" w:rsidRDefault="00325753" w:rsidP="00325753">
      <w:pPr>
        <w:numPr>
          <w:ilvl w:val="0"/>
          <w:numId w:val="2"/>
        </w:numPr>
        <w:spacing w:after="0" w:line="240" w:lineRule="auto"/>
        <w:ind w:left="360"/>
        <w:contextualSpacing/>
        <w:rPr>
          <w:rFonts w:eastAsia="Calibri" w:cs="Arial"/>
          <w:sz w:val="24"/>
          <w:szCs w:val="24"/>
        </w:rPr>
      </w:pPr>
      <w:r w:rsidRPr="00915C09">
        <w:rPr>
          <w:rFonts w:eastAsia="Calibri" w:cs="Arial"/>
          <w:b/>
          <w:sz w:val="24"/>
          <w:szCs w:val="24"/>
        </w:rPr>
        <w:lastRenderedPageBreak/>
        <w:t>Resource Mapping</w:t>
      </w:r>
      <w:r w:rsidRPr="00915C09">
        <w:rPr>
          <w:rFonts w:eastAsia="Calibri" w:cs="Arial"/>
          <w:sz w:val="24"/>
          <w:szCs w:val="24"/>
        </w:rPr>
        <w:t xml:space="preserve"> (</w:t>
      </w:r>
      <w:r w:rsidRPr="00915C09">
        <w:rPr>
          <w:rFonts w:eastAsia="Calibri" w:cs="Arial"/>
          <w:color w:val="0000FF"/>
          <w:sz w:val="24"/>
          <w:szCs w:val="24"/>
          <w:u w:val="single"/>
        </w:rPr>
        <w:t>CFR §681.</w:t>
      </w:r>
      <w:hyperlink r:id="rId89" w:history="1">
        <w:r w:rsidRPr="00915C09">
          <w:rPr>
            <w:rFonts w:eastAsia="Calibri" w:cs="Arial"/>
            <w:color w:val="0000FF"/>
            <w:sz w:val="24"/>
            <w:szCs w:val="24"/>
            <w:u w:val="single"/>
          </w:rPr>
          <w:t>400</w:t>
        </w:r>
      </w:hyperlink>
      <w:r w:rsidRPr="00915C09">
        <w:rPr>
          <w:rFonts w:eastAsia="Calibri" w:cs="Arial"/>
          <w:color w:val="0000FF"/>
          <w:sz w:val="24"/>
          <w:szCs w:val="24"/>
          <w:u w:val="single"/>
        </w:rPr>
        <w:t>(b)(2) &amp; 681.470)</w:t>
      </w:r>
    </w:p>
    <w:p w14:paraId="23304ECE" w14:textId="77777777" w:rsidR="00325753" w:rsidRPr="00915C09" w:rsidRDefault="00325753" w:rsidP="00325753">
      <w:pPr>
        <w:numPr>
          <w:ilvl w:val="1"/>
          <w:numId w:val="2"/>
        </w:numPr>
        <w:spacing w:after="0" w:line="240" w:lineRule="auto"/>
        <w:contextualSpacing/>
        <w:rPr>
          <w:rFonts w:eastAsia="Calibri" w:cs="Arial"/>
          <w:sz w:val="24"/>
          <w:szCs w:val="24"/>
        </w:rPr>
      </w:pPr>
      <w:r w:rsidRPr="00915C09">
        <w:rPr>
          <w:rFonts w:eastAsia="Calibri" w:cs="Arial"/>
          <w:sz w:val="24"/>
          <w:szCs w:val="24"/>
        </w:rPr>
        <w:t xml:space="preserve">Resource mapping is the process of reviewing agencies within the local community to determine if these agencies are providing compatible WIOA youth program elements.  LWDBs should explore developing MOAs with these agencies to leverage WIOA funds.  Additional information on resource mapping can be found here:  </w:t>
      </w:r>
      <w:hyperlink r:id="rId90" w:history="1">
        <w:r w:rsidRPr="00915C09">
          <w:rPr>
            <w:rFonts w:eastAsia="Calibri" w:cs="Arial"/>
            <w:color w:val="0000FF"/>
            <w:sz w:val="24"/>
            <w:szCs w:val="24"/>
            <w:u w:val="single"/>
            <w:shd w:val="clear" w:color="auto" w:fill="FFFFFF"/>
          </w:rPr>
          <w:t>The National Center on Secondary Education and Transition</w:t>
        </w:r>
      </w:hyperlink>
    </w:p>
    <w:sectPr w:rsidR="00325753" w:rsidRPr="00915C09">
      <w:headerReference w:type="default" r:id="rId91"/>
      <w:footerReference w:type="defaul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42AF8" w14:textId="77777777" w:rsidR="00F61E66" w:rsidRDefault="00F61E66" w:rsidP="006870DA">
      <w:pPr>
        <w:spacing w:after="0" w:line="240" w:lineRule="auto"/>
      </w:pPr>
      <w:r>
        <w:separator/>
      </w:r>
    </w:p>
  </w:endnote>
  <w:endnote w:type="continuationSeparator" w:id="0">
    <w:p w14:paraId="26717E82" w14:textId="77777777" w:rsidR="00F61E66" w:rsidRDefault="00F61E66" w:rsidP="0068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78728"/>
      <w:docPartObj>
        <w:docPartGallery w:val="Page Numbers (Bottom of Page)"/>
        <w:docPartUnique/>
      </w:docPartObj>
    </w:sdtPr>
    <w:sdtEndPr>
      <w:rPr>
        <w:noProof/>
      </w:rPr>
    </w:sdtEndPr>
    <w:sdtContent>
      <w:p w14:paraId="5DDB5D85" w14:textId="77777777" w:rsidR="006870DA" w:rsidRDefault="006870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FA60F" w14:textId="77777777" w:rsidR="006870DA" w:rsidRDefault="0068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671E2" w14:textId="77777777" w:rsidR="00F61E66" w:rsidRDefault="00F61E66" w:rsidP="006870DA">
      <w:pPr>
        <w:spacing w:after="0" w:line="240" w:lineRule="auto"/>
      </w:pPr>
      <w:r>
        <w:separator/>
      </w:r>
    </w:p>
  </w:footnote>
  <w:footnote w:type="continuationSeparator" w:id="0">
    <w:p w14:paraId="01E75B44" w14:textId="77777777" w:rsidR="00F61E66" w:rsidRDefault="00F61E66" w:rsidP="006870DA">
      <w:pPr>
        <w:spacing w:after="0" w:line="240" w:lineRule="auto"/>
      </w:pPr>
      <w:r>
        <w:continuationSeparator/>
      </w:r>
    </w:p>
  </w:footnote>
  <w:footnote w:id="1">
    <w:p w14:paraId="6DD5B9F3" w14:textId="77777777" w:rsidR="006870DA" w:rsidRDefault="006870DA" w:rsidP="006870DA">
      <w:pPr>
        <w:pStyle w:val="FootnoteText"/>
      </w:pPr>
      <w:r>
        <w:rPr>
          <w:rStyle w:val="FootnoteReference"/>
        </w:rPr>
        <w:footnoteRef/>
      </w:r>
      <w:r>
        <w:t xml:space="preserve"> WorkforceGPS </w:t>
      </w:r>
      <w:hyperlink r:id="rId1" w:history="1">
        <w:r w:rsidRPr="00A60EC1">
          <w:rPr>
            <w:rStyle w:val="Hyperlink1"/>
          </w:rPr>
          <w:t>WIOA Performance Accountability Guidance Overview</w:t>
        </w:r>
      </w:hyperlink>
      <w:r>
        <w:t xml:space="preserve"> webinar presented on January 11,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9DD9" w14:textId="77777777" w:rsidR="00591237" w:rsidRDefault="00591237" w:rsidP="00591237">
    <w:pPr>
      <w:pStyle w:val="Header"/>
      <w:jc w:val="right"/>
    </w:pPr>
    <w:r>
      <w:t>Resources/Guidance/Definitions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FC2"/>
    <w:multiLevelType w:val="hybridMultilevel"/>
    <w:tmpl w:val="9F88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12EB"/>
    <w:multiLevelType w:val="hybridMultilevel"/>
    <w:tmpl w:val="0770D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4397B"/>
    <w:multiLevelType w:val="hybridMultilevel"/>
    <w:tmpl w:val="167E36D8"/>
    <w:lvl w:ilvl="0" w:tplc="04090001">
      <w:start w:val="1"/>
      <w:numFmt w:val="bullet"/>
      <w:lvlText w:val=""/>
      <w:lvlJc w:val="left"/>
      <w:pPr>
        <w:ind w:left="720" w:hanging="360"/>
      </w:pPr>
      <w:rPr>
        <w:rFonts w:ascii="Symbol" w:hAnsi="Symbol" w:hint="default"/>
      </w:rPr>
    </w:lvl>
    <w:lvl w:ilvl="1" w:tplc="4466772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E079C"/>
    <w:multiLevelType w:val="hybridMultilevel"/>
    <w:tmpl w:val="5246A222"/>
    <w:lvl w:ilvl="0" w:tplc="381E60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218EF"/>
    <w:multiLevelType w:val="hybridMultilevel"/>
    <w:tmpl w:val="98DA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F0989"/>
    <w:multiLevelType w:val="hybridMultilevel"/>
    <w:tmpl w:val="2E76A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F7FE4"/>
    <w:multiLevelType w:val="hybridMultilevel"/>
    <w:tmpl w:val="BF6AD2D2"/>
    <w:lvl w:ilvl="0" w:tplc="04090015">
      <w:start w:val="1"/>
      <w:numFmt w:val="upperLetter"/>
      <w:lvlText w:val="%1."/>
      <w:lvlJc w:val="left"/>
      <w:pPr>
        <w:ind w:left="630" w:hanging="360"/>
      </w:pPr>
    </w:lvl>
    <w:lvl w:ilvl="1" w:tplc="2CF069B4">
      <w:start w:val="1"/>
      <w:numFmt w:val="decimal"/>
      <w:lvlText w:val="%2)"/>
      <w:lvlJc w:val="left"/>
      <w:pPr>
        <w:ind w:left="1350" w:hanging="360"/>
      </w:pPr>
      <w:rPr>
        <w:color w:val="auto"/>
      </w:rPr>
    </w:lvl>
    <w:lvl w:ilvl="2" w:tplc="04090001">
      <w:start w:val="1"/>
      <w:numFmt w:val="bullet"/>
      <w:lvlText w:val=""/>
      <w:lvlJc w:val="left"/>
      <w:pPr>
        <w:ind w:left="810" w:hanging="180"/>
      </w:pPr>
      <w:rPr>
        <w:rFonts w:ascii="Symbol" w:hAnsi="Symbol"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9DE1A60"/>
    <w:multiLevelType w:val="hybridMultilevel"/>
    <w:tmpl w:val="99DAE5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173A6C50">
      <w:start w:val="1"/>
      <w:numFmt w:val="upperLetter"/>
      <w:lvlText w:val="%9."/>
      <w:lvlJc w:val="left"/>
      <w:pPr>
        <w:ind w:left="6840" w:hanging="180"/>
      </w:pPr>
      <w:rPr>
        <w:b w:val="0"/>
      </w:rPr>
    </w:lvl>
  </w:abstractNum>
  <w:abstractNum w:abstractNumId="8" w15:restartNumberingAfterBreak="0">
    <w:nsid w:val="4A3B738D"/>
    <w:multiLevelType w:val="hybridMultilevel"/>
    <w:tmpl w:val="4EE86FAE"/>
    <w:lvl w:ilvl="0" w:tplc="381E60D8">
      <w:start w:val="1"/>
      <w:numFmt w:val="bullet"/>
      <w:lvlText w:val=""/>
      <w:lvlJc w:val="left"/>
      <w:pPr>
        <w:ind w:left="720" w:hanging="360"/>
      </w:pPr>
      <w:rPr>
        <w:rFonts w:ascii="Symbol" w:hAnsi="Symbol" w:hint="default"/>
        <w:color w:val="auto"/>
      </w:rPr>
    </w:lvl>
    <w:lvl w:ilvl="1" w:tplc="05EA53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83709"/>
    <w:multiLevelType w:val="hybridMultilevel"/>
    <w:tmpl w:val="A2F06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F542B"/>
    <w:multiLevelType w:val="hybridMultilevel"/>
    <w:tmpl w:val="5498BC84"/>
    <w:lvl w:ilvl="0" w:tplc="381E60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8"/>
  </w:num>
  <w:num w:numId="5">
    <w:abstractNumId w:val="10"/>
  </w:num>
  <w:num w:numId="6">
    <w:abstractNumId w:val="3"/>
  </w:num>
  <w:num w:numId="7">
    <w:abstractNumId w:val="0"/>
  </w:num>
  <w:num w:numId="8">
    <w:abstractNumId w:val="1"/>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DA"/>
    <w:rsid w:val="00037CAC"/>
    <w:rsid w:val="000A3BD0"/>
    <w:rsid w:val="002842C1"/>
    <w:rsid w:val="00325753"/>
    <w:rsid w:val="00355105"/>
    <w:rsid w:val="003F3E87"/>
    <w:rsid w:val="004477D7"/>
    <w:rsid w:val="0058097B"/>
    <w:rsid w:val="00586A49"/>
    <w:rsid w:val="00591237"/>
    <w:rsid w:val="005C7FFC"/>
    <w:rsid w:val="006870DA"/>
    <w:rsid w:val="007D31F0"/>
    <w:rsid w:val="007F5C7D"/>
    <w:rsid w:val="0081714B"/>
    <w:rsid w:val="0084703A"/>
    <w:rsid w:val="008872C7"/>
    <w:rsid w:val="00915C09"/>
    <w:rsid w:val="009833D3"/>
    <w:rsid w:val="009948EE"/>
    <w:rsid w:val="009D31CF"/>
    <w:rsid w:val="009E5794"/>
    <w:rsid w:val="00A22A34"/>
    <w:rsid w:val="00C2451C"/>
    <w:rsid w:val="00C32C95"/>
    <w:rsid w:val="00F55A75"/>
    <w:rsid w:val="00F6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6A02"/>
  <w15:chartTrackingRefBased/>
  <w15:docId w15:val="{71F715CD-3A31-4793-9EE1-55FCE8A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6870DA"/>
    <w:rPr>
      <w:color w:val="0000FF"/>
      <w:u w:val="single"/>
    </w:rPr>
  </w:style>
  <w:style w:type="paragraph" w:styleId="FootnoteText">
    <w:name w:val="footnote text"/>
    <w:basedOn w:val="Normal"/>
    <w:link w:val="FootnoteTextChar"/>
    <w:uiPriority w:val="99"/>
    <w:semiHidden/>
    <w:unhideWhenUsed/>
    <w:rsid w:val="00687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0DA"/>
    <w:rPr>
      <w:sz w:val="20"/>
      <w:szCs w:val="20"/>
    </w:rPr>
  </w:style>
  <w:style w:type="character" w:styleId="FootnoteReference">
    <w:name w:val="footnote reference"/>
    <w:basedOn w:val="DefaultParagraphFont"/>
    <w:uiPriority w:val="99"/>
    <w:semiHidden/>
    <w:unhideWhenUsed/>
    <w:rsid w:val="006870DA"/>
    <w:rPr>
      <w:vertAlign w:val="superscript"/>
    </w:rPr>
  </w:style>
  <w:style w:type="character" w:styleId="Hyperlink">
    <w:name w:val="Hyperlink"/>
    <w:basedOn w:val="DefaultParagraphFont"/>
    <w:uiPriority w:val="99"/>
    <w:unhideWhenUsed/>
    <w:rsid w:val="006870DA"/>
    <w:rPr>
      <w:color w:val="0563C1" w:themeColor="hyperlink"/>
      <w:u w:val="single"/>
    </w:rPr>
  </w:style>
  <w:style w:type="paragraph" w:styleId="Header">
    <w:name w:val="header"/>
    <w:basedOn w:val="Normal"/>
    <w:link w:val="HeaderChar"/>
    <w:uiPriority w:val="99"/>
    <w:unhideWhenUsed/>
    <w:rsid w:val="0068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0DA"/>
  </w:style>
  <w:style w:type="paragraph" w:styleId="Footer">
    <w:name w:val="footer"/>
    <w:basedOn w:val="Normal"/>
    <w:link w:val="FooterChar"/>
    <w:uiPriority w:val="99"/>
    <w:unhideWhenUsed/>
    <w:rsid w:val="0068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0DA"/>
  </w:style>
  <w:style w:type="character" w:styleId="UnresolvedMention">
    <w:name w:val="Unresolved Mention"/>
    <w:basedOn w:val="DefaultParagraphFont"/>
    <w:uiPriority w:val="99"/>
    <w:semiHidden/>
    <w:unhideWhenUsed/>
    <w:rsid w:val="003F3E87"/>
    <w:rPr>
      <w:color w:val="605E5C"/>
      <w:shd w:val="clear" w:color="auto" w:fill="E1DFDD"/>
    </w:rPr>
  </w:style>
  <w:style w:type="paragraph" w:styleId="ListParagraph">
    <w:name w:val="List Paragraph"/>
    <w:basedOn w:val="Normal"/>
    <w:uiPriority w:val="34"/>
    <w:qFormat/>
    <w:rsid w:val="007D31F0"/>
    <w:pPr>
      <w:ind w:left="720"/>
      <w:contextualSpacing/>
    </w:pPr>
  </w:style>
  <w:style w:type="character" w:styleId="CommentReference">
    <w:name w:val="annotation reference"/>
    <w:basedOn w:val="DefaultParagraphFont"/>
    <w:uiPriority w:val="99"/>
    <w:semiHidden/>
    <w:unhideWhenUsed/>
    <w:rsid w:val="005C7FFC"/>
    <w:rPr>
      <w:sz w:val="16"/>
      <w:szCs w:val="16"/>
    </w:rPr>
  </w:style>
  <w:style w:type="paragraph" w:styleId="CommentText">
    <w:name w:val="annotation text"/>
    <w:basedOn w:val="Normal"/>
    <w:link w:val="CommentTextChar"/>
    <w:uiPriority w:val="99"/>
    <w:semiHidden/>
    <w:unhideWhenUsed/>
    <w:rsid w:val="005C7FFC"/>
    <w:pPr>
      <w:spacing w:line="240" w:lineRule="auto"/>
    </w:pPr>
    <w:rPr>
      <w:sz w:val="20"/>
      <w:szCs w:val="20"/>
    </w:rPr>
  </w:style>
  <w:style w:type="character" w:customStyle="1" w:styleId="CommentTextChar">
    <w:name w:val="Comment Text Char"/>
    <w:basedOn w:val="DefaultParagraphFont"/>
    <w:link w:val="CommentText"/>
    <w:uiPriority w:val="99"/>
    <w:semiHidden/>
    <w:rsid w:val="005C7FFC"/>
    <w:rPr>
      <w:sz w:val="20"/>
      <w:szCs w:val="20"/>
    </w:rPr>
  </w:style>
  <w:style w:type="paragraph" w:styleId="CommentSubject">
    <w:name w:val="annotation subject"/>
    <w:basedOn w:val="CommentText"/>
    <w:next w:val="CommentText"/>
    <w:link w:val="CommentSubjectChar"/>
    <w:uiPriority w:val="99"/>
    <w:semiHidden/>
    <w:unhideWhenUsed/>
    <w:rsid w:val="005C7FFC"/>
    <w:rPr>
      <w:b/>
      <w:bCs/>
    </w:rPr>
  </w:style>
  <w:style w:type="character" w:customStyle="1" w:styleId="CommentSubjectChar">
    <w:name w:val="Comment Subject Char"/>
    <w:basedOn w:val="CommentTextChar"/>
    <w:link w:val="CommentSubject"/>
    <w:uiPriority w:val="99"/>
    <w:semiHidden/>
    <w:rsid w:val="005C7FFC"/>
    <w:rPr>
      <w:b/>
      <w:bCs/>
      <w:sz w:val="20"/>
      <w:szCs w:val="20"/>
    </w:rPr>
  </w:style>
  <w:style w:type="paragraph" w:styleId="BalloonText">
    <w:name w:val="Balloon Text"/>
    <w:basedOn w:val="Normal"/>
    <w:link w:val="BalloonTextChar"/>
    <w:uiPriority w:val="99"/>
    <w:semiHidden/>
    <w:unhideWhenUsed/>
    <w:rsid w:val="005C7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FFC"/>
    <w:rPr>
      <w:rFonts w:ascii="Segoe UI" w:hAnsi="Segoe UI" w:cs="Segoe UI"/>
      <w:sz w:val="18"/>
      <w:szCs w:val="18"/>
    </w:rPr>
  </w:style>
  <w:style w:type="character" w:styleId="FollowedHyperlink">
    <w:name w:val="FollowedHyperlink"/>
    <w:basedOn w:val="DefaultParagraphFont"/>
    <w:uiPriority w:val="99"/>
    <w:semiHidden/>
    <w:unhideWhenUsed/>
    <w:rsid w:val="005C7F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po.gov/fdsys/pkg/FR-2016-08-19/pdf/2016-15975.pdf" TargetMode="External"/><Relationship Id="rId18" Type="http://schemas.openxmlformats.org/officeDocument/2006/relationships/hyperlink" Target="https://www.careeronestop.org/Credentials/Toolkit/toolkit.aspx" TargetMode="External"/><Relationship Id="rId26" Type="http://schemas.openxmlformats.org/officeDocument/2006/relationships/hyperlink" Target="https://labor.ny.gov/workforcenypartners/dpn_dei.shtm" TargetMode="External"/><Relationship Id="rId39" Type="http://schemas.openxmlformats.org/officeDocument/2006/relationships/hyperlink" Target="https://labor.ny.gov/workforcenypartners/osos/osos-guide-youth-placement.pdf" TargetMode="External"/><Relationship Id="rId21" Type="http://schemas.openxmlformats.org/officeDocument/2006/relationships/hyperlink" Target="https://wdr.doleta.gov/directives/attach/TEGL/TEGL_39_11_Acc.pdf" TargetMode="External"/><Relationship Id="rId34" Type="http://schemas.openxmlformats.org/officeDocument/2006/relationships/hyperlink" Target="https://labor.ny.gov/workforcenypartners/osos/DEI-Round-8-OSOS-Guide.pdf" TargetMode="External"/><Relationship Id="rId42" Type="http://schemas.openxmlformats.org/officeDocument/2006/relationships/hyperlink" Target="https://labor.ny.gov/workforcenypartners/ta/ta-18-5.pdf" TargetMode="External"/><Relationship Id="rId47" Type="http://schemas.openxmlformats.org/officeDocument/2006/relationships/hyperlink" Target="https://labor.ny.gov/workforcenypartners/ta/poverty-guidelines-2018.pdf" TargetMode="External"/><Relationship Id="rId50" Type="http://schemas.openxmlformats.org/officeDocument/2006/relationships/hyperlink" Target="https://labor.ny.gov/workforcenypartners/ta/TA09-2-1-ITA-Approval-Policy.pdf" TargetMode="External"/><Relationship Id="rId55" Type="http://schemas.openxmlformats.org/officeDocument/2006/relationships/hyperlink" Target="https://labor.ny.gov/workforcenypartners/ta/ta14-10-WIAAgreements.pdf" TargetMode="External"/><Relationship Id="rId63" Type="http://schemas.openxmlformats.org/officeDocument/2006/relationships/hyperlink" Target="https://www.gpo.gov/fdsys/pkg/CFR-2017-title20-vol4/pdf/CFR-2017-title20-vol4-part681.pdf" TargetMode="External"/><Relationship Id="rId68" Type="http://schemas.openxmlformats.org/officeDocument/2006/relationships/hyperlink" Target="https://wdr.doleta.gov/directives/corr_doc.cfm?docn=7159" TargetMode="External"/><Relationship Id="rId76" Type="http://schemas.openxmlformats.org/officeDocument/2006/relationships/hyperlink" Target="https://www2.ed.gov/policy/elsec/leg/esea02/pg116.html?exp=6" TargetMode="External"/><Relationship Id="rId84" Type="http://schemas.openxmlformats.org/officeDocument/2006/relationships/hyperlink" Target="https://labor.ny.gov/workforcenypartners/tas.shtm" TargetMode="External"/><Relationship Id="rId89" Type="http://schemas.openxmlformats.org/officeDocument/2006/relationships/hyperlink" Target="https://www.gpo.gov/fdsys/pkg/CFR-2017-title20-vol4/pdf/CFR-2017-title20-vol4-part681.pdf" TargetMode="External"/><Relationship Id="rId7" Type="http://schemas.openxmlformats.org/officeDocument/2006/relationships/hyperlink" Target="https://www.doleta.gov/grants/pdf/FOA-ETA-17-05.pdf" TargetMode="External"/><Relationship Id="rId71" Type="http://schemas.openxmlformats.org/officeDocument/2006/relationships/hyperlink" Target="http://www.ssa.gov/OP_Home/ssact/title04/0477.htm"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dr.doleta.gov/directives/attach/TEGL/TEGL_21-16_Acc.pdf" TargetMode="External"/><Relationship Id="rId29" Type="http://schemas.openxmlformats.org/officeDocument/2006/relationships/hyperlink" Target="https://www.labor.ny.gov/youth/PDFs/wioa-youth-service-elements.pdf" TargetMode="External"/><Relationship Id="rId11" Type="http://schemas.openxmlformats.org/officeDocument/2006/relationships/hyperlink" Target="https://www.gpo.gov/fdsys/pkg/PLAW-113publ128/pdf/PLAW-113publ128.pdf" TargetMode="External"/><Relationship Id="rId24" Type="http://schemas.openxmlformats.org/officeDocument/2006/relationships/hyperlink" Target="mailto:SpecialPopulations@labor.ny.gov" TargetMode="External"/><Relationship Id="rId32" Type="http://schemas.openxmlformats.org/officeDocument/2006/relationships/hyperlink" Target="https://www.labor.ny.gov/youth/PDFs/followup-element-youth-webinar-presentation.pdf" TargetMode="External"/><Relationship Id="rId37" Type="http://schemas.openxmlformats.org/officeDocument/2006/relationships/hyperlink" Target="https://labor.ny.gov/workforcenypartners/osos/youth-ig.html" TargetMode="External"/><Relationship Id="rId40" Type="http://schemas.openxmlformats.org/officeDocument/2006/relationships/hyperlink" Target="https://labor.ny.gov/workforcenypartners/osos/Comprehensive-Assessment-OSOS-Guide-2017.pdf" TargetMode="External"/><Relationship Id="rId45" Type="http://schemas.openxmlformats.org/officeDocument/2006/relationships/hyperlink" Target="https://labor.ny.gov/workforcenypartners/ta/70-percent-llsi-2017-county.pdf" TargetMode="External"/><Relationship Id="rId53" Type="http://schemas.openxmlformats.org/officeDocument/2006/relationships/hyperlink" Target="https://labor.ny.gov/workforcenypartners/ta/TA11-12.2AttD.pdf" TargetMode="External"/><Relationship Id="rId58" Type="http://schemas.openxmlformats.org/officeDocument/2006/relationships/hyperlink" Target="https://labor.ny.gov/workforcenypartners/ta/ta-10-15-2.pdf" TargetMode="External"/><Relationship Id="rId66" Type="http://schemas.openxmlformats.org/officeDocument/2006/relationships/hyperlink" Target="https://www.gpo.gov/fdsys/pkg/CFR-2017-title20-vol4/pdf/CFR-2017-title20-vol4-sec675-300.pdf" TargetMode="External"/><Relationship Id="rId74" Type="http://schemas.openxmlformats.org/officeDocument/2006/relationships/hyperlink" Target="https://wdr.doleta.gov/directives/attach/TEGL/TEGL_21-16_Attachment_2.pdf" TargetMode="External"/><Relationship Id="rId79" Type="http://schemas.openxmlformats.org/officeDocument/2006/relationships/hyperlink" Target="https://www.gpo.gov/fdsys/pkg/PLAW-113publ128/pdf/PLAW-113publ128.pdf" TargetMode="External"/><Relationship Id="rId87" Type="http://schemas.openxmlformats.org/officeDocument/2006/relationships/hyperlink" Target="https://www.gpo.gov/fdsys/pkg/CFR-2017-title20-vol4/pdf/CFR-2017-title20-vol4-part681.pdf" TargetMode="External"/><Relationship Id="rId5" Type="http://schemas.openxmlformats.org/officeDocument/2006/relationships/footnotes" Target="footnotes.xml"/><Relationship Id="rId61" Type="http://schemas.openxmlformats.org/officeDocument/2006/relationships/hyperlink" Target="https://labor.ny.gov/workforcenypartners/ta/ta12-12-4-veterans-priority-of-service.pdf" TargetMode="External"/><Relationship Id="rId82" Type="http://schemas.openxmlformats.org/officeDocument/2006/relationships/hyperlink" Target="https://www.gpo.gov/fdsys/pkg/PLAW-113publ128/pdf/PLAW-113publ128.pdf" TargetMode="External"/><Relationship Id="rId90" Type="http://schemas.openxmlformats.org/officeDocument/2006/relationships/hyperlink" Target="http://www.ncset.org/publications/essentialtools/mapping/overview.asp" TargetMode="External"/><Relationship Id="rId19" Type="http://schemas.openxmlformats.org/officeDocument/2006/relationships/hyperlink" Target="https://wdr.doleta.gov/directives/attach/TEGL17-05c2a1.pdf" TargetMode="External"/><Relationship Id="rId14" Type="http://schemas.openxmlformats.org/officeDocument/2006/relationships/hyperlink" Target="https://wdr.doleta.gov/directives/All_WIOA_Related_Advisories.cfm" TargetMode="External"/><Relationship Id="rId22" Type="http://schemas.openxmlformats.org/officeDocument/2006/relationships/hyperlink" Target="https://wdr.doleta.gov/directives/corr_doc.cfm?docn=8681" TargetMode="External"/><Relationship Id="rId27" Type="http://schemas.openxmlformats.org/officeDocument/2006/relationships/hyperlink" Target="https://labor.ny.gov/workforcenypartners/wioa/workforce-planning.shtm" TargetMode="External"/><Relationship Id="rId30" Type="http://schemas.openxmlformats.org/officeDocument/2006/relationships/hyperlink" Target="https://www.labor.ny.gov/youth/PDFs/osos-tips-youth-webinar-presentation.pdf" TargetMode="External"/><Relationship Id="rId35" Type="http://schemas.openxmlformats.org/officeDocument/2006/relationships/hyperlink" Target="https://labor.ny.gov/workforcenypartners/osos/WIOA-Performance-Measures-and-Outcomes-Guide.pdf" TargetMode="External"/><Relationship Id="rId43" Type="http://schemas.openxmlformats.org/officeDocument/2006/relationships/hyperlink" Target="https://labor.ny.gov/workforcenypartners/ta/ta-16-1-poverty-income-and-llsil-guidelines.pdf" TargetMode="External"/><Relationship Id="rId48" Type="http://schemas.openxmlformats.org/officeDocument/2006/relationships/hyperlink" Target="https://labor.ny.gov/workforcenypartners/ta/TA12-9-1-Selective-Service.pdf" TargetMode="External"/><Relationship Id="rId56" Type="http://schemas.openxmlformats.org/officeDocument/2006/relationships/hyperlink" Target="https://labor.ny.gov/workforcenypartners/ta/ta06-16-2-ServiceDefinitionsandDataEntryProcedures.pdf" TargetMode="External"/><Relationship Id="rId64" Type="http://schemas.openxmlformats.org/officeDocument/2006/relationships/hyperlink" Target="https://www.gpo.gov/fdsys/pkg/CFR-2017-title20-vol4/pdf/CFR-2017-title20-vol4-part681.pdf" TargetMode="External"/><Relationship Id="rId69" Type="http://schemas.openxmlformats.org/officeDocument/2006/relationships/hyperlink" Target="https://www.gpo.gov/fdsys/pkg/CFR-2017-title20-vol4/pdf/CFR-2017-title20-vol4-sec675-300.pdf" TargetMode="External"/><Relationship Id="rId77" Type="http://schemas.openxmlformats.org/officeDocument/2006/relationships/hyperlink" Target="http://public.leginfo.state.ny.us/lawssrch.cgi?NVLWO:" TargetMode="External"/><Relationship Id="rId8" Type="http://schemas.openxmlformats.org/officeDocument/2006/relationships/hyperlink" Target="https://www.workforcegps.org/" TargetMode="External"/><Relationship Id="rId51" Type="http://schemas.openxmlformats.org/officeDocument/2006/relationships/hyperlink" Target="https://labor.ny.gov/workforcenypartners/ta/TA11-12.2.pdf" TargetMode="External"/><Relationship Id="rId72" Type="http://schemas.openxmlformats.org/officeDocument/2006/relationships/hyperlink" Target="https://www.gpo.gov/fdsys/pkg/CFR-2017-title20-vol4/pdf/CFR-2017-title20-vol4-part681.pdf" TargetMode="External"/><Relationship Id="rId80" Type="http://schemas.openxmlformats.org/officeDocument/2006/relationships/hyperlink" Target="https://wdr.doleta.gov/directives/attach/TEGL/TEGL_19-16_acc.pdf" TargetMode="External"/><Relationship Id="rId85" Type="http://schemas.openxmlformats.org/officeDocument/2006/relationships/hyperlink" Target="https://wdr.doleta.gov/directives/corr_doc.cfm?docn=7159"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po.gov/fdsys/pkg/FR-2016-08-19/pdf/2016-15977.pdf" TargetMode="External"/><Relationship Id="rId17" Type="http://schemas.openxmlformats.org/officeDocument/2006/relationships/hyperlink" Target="https://wdr.doleta.gov/directives/corr_doc.cfm?DOCN=3255" TargetMode="External"/><Relationship Id="rId25" Type="http://schemas.openxmlformats.org/officeDocument/2006/relationships/hyperlink" Target="mailto:Dews.performance@labor.ny.gov" TargetMode="External"/><Relationship Id="rId33" Type="http://schemas.openxmlformats.org/officeDocument/2006/relationships/hyperlink" Target="https://labor.ny.gov/workforcenypartners/osos/Service-Types-and-Outcomes-Youth-Webinar.pdf" TargetMode="External"/><Relationship Id="rId38" Type="http://schemas.openxmlformats.org/officeDocument/2006/relationships/hyperlink" Target="https://labor.ny.gov/workforcenypartners/osos/osos-guide-degree-cert-attainment.pdf" TargetMode="External"/><Relationship Id="rId46" Type="http://schemas.openxmlformats.org/officeDocument/2006/relationships/hyperlink" Target="https://labor.ny.gov/workforcenypartners/ta/70-percent-llsi-2017-lwia.pdf" TargetMode="External"/><Relationship Id="rId59" Type="http://schemas.openxmlformats.org/officeDocument/2006/relationships/hyperlink" Target="https://labor.ny.gov/workforcenypartners/ta/ta04-21.htm" TargetMode="External"/><Relationship Id="rId67" Type="http://schemas.openxmlformats.org/officeDocument/2006/relationships/hyperlink" Target="https://www.congress.gov/113/bills/hr803/BILLS-113hr803enr.pdf" TargetMode="External"/><Relationship Id="rId20" Type="http://schemas.openxmlformats.org/officeDocument/2006/relationships/hyperlink" Target="https://wdr.doleta.gov/directives/attach/TEGL/TEGL_33_12_Acc.pdf" TargetMode="External"/><Relationship Id="rId41" Type="http://schemas.openxmlformats.org/officeDocument/2006/relationships/hyperlink" Target="https://labor.ny.gov/workforcenypartners/ta/ta-16-2-record-retention.pdf" TargetMode="External"/><Relationship Id="rId54" Type="http://schemas.openxmlformats.org/officeDocument/2006/relationships/hyperlink" Target="https://labor.ny.gov/workforcenypartners/ta/ta10-3-1_AdditionalParticipantDemographicInformation.pdf" TargetMode="External"/><Relationship Id="rId62" Type="http://schemas.openxmlformats.org/officeDocument/2006/relationships/hyperlink" Target="https://labor.ny.gov/workforcenypartners/ta/ta-16-4-universal-accessibility-of-wds-to-individuals-with-disabilities-om-primer-combined.pdf" TargetMode="External"/><Relationship Id="rId70" Type="http://schemas.openxmlformats.org/officeDocument/2006/relationships/hyperlink" Target="https://www.gpo.gov/fdsys/pkg/CFR-2017-title20-vol4/pdf/CFR-2017-title20-vol4-sec675-300.pdf" TargetMode="External"/><Relationship Id="rId75" Type="http://schemas.openxmlformats.org/officeDocument/2006/relationships/hyperlink" Target="https://www.gpo.gov/fdsys/pkg/USCODE-2014-title42/pdf/USCODE-2014-title42-chap136-subchapIII-partM-subpart1-sec14043e-2.pdf" TargetMode="External"/><Relationship Id="rId83" Type="http://schemas.openxmlformats.org/officeDocument/2006/relationships/hyperlink" Target="https://wdr.doleta.gov/directives/corr_doc.cfm?docn=7159" TargetMode="External"/><Relationship Id="rId88" Type="http://schemas.openxmlformats.org/officeDocument/2006/relationships/hyperlink" Target="https://www.gpo.gov/fdsys/pkg/CFR-2017-title20-vol4/pdf/CFR-2017-title20-vol4-part681.pdf"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ol.gov/odep/topics/DEI.htm" TargetMode="External"/><Relationship Id="rId23" Type="http://schemas.openxmlformats.org/officeDocument/2006/relationships/hyperlink" Target="mailto:Kerry.Wiley@labor.ny.gov" TargetMode="External"/><Relationship Id="rId28" Type="http://schemas.openxmlformats.org/officeDocument/2006/relationships/hyperlink" Target="mailto:labor.sm.DEWS.YouthPortal@labor.ny.gov" TargetMode="External"/><Relationship Id="rId36" Type="http://schemas.openxmlformats.org/officeDocument/2006/relationships/hyperlink" Target="https://labor.ny.gov/workforcenypartners/PDFs/youth-OSOS-service-categories-types.pdf" TargetMode="External"/><Relationship Id="rId49" Type="http://schemas.openxmlformats.org/officeDocument/2006/relationships/hyperlink" Target="https://www.sss.gov/Home/Verification" TargetMode="External"/><Relationship Id="rId57" Type="http://schemas.openxmlformats.org/officeDocument/2006/relationships/hyperlink" Target="https://labor.ny.gov/workforcenypartners/ta/ta06-16-2-Level2ServiceDefinitionsandDataEntryProcedures.pdf" TargetMode="External"/><Relationship Id="rId10" Type="http://schemas.openxmlformats.org/officeDocument/2006/relationships/hyperlink" Target="https://disability.workforcegps.org/" TargetMode="External"/><Relationship Id="rId31" Type="http://schemas.openxmlformats.org/officeDocument/2006/relationships/hyperlink" Target="https://www.labor.ny.gov/youth/PDFs/lmi-element-youth-webinar-presentation.pdf" TargetMode="External"/><Relationship Id="rId44" Type="http://schemas.openxmlformats.org/officeDocument/2006/relationships/hyperlink" Target="https://labor.ny.gov/workforcenypartners/tools.shtm" TargetMode="External"/><Relationship Id="rId52" Type="http://schemas.openxmlformats.org/officeDocument/2006/relationships/hyperlink" Target="https://labor.ny.gov/workforcenypartners/ta/TA11-12AttC.pdf" TargetMode="External"/><Relationship Id="rId60" Type="http://schemas.openxmlformats.org/officeDocument/2006/relationships/hyperlink" Target="https://labor.ny.gov/workforcenypartners/ta/ta-04-19.pdf" TargetMode="External"/><Relationship Id="rId65" Type="http://schemas.openxmlformats.org/officeDocument/2006/relationships/hyperlink" Target="https://www.gpo.gov/fdsys/pkg/CFR-2011-title29-vol1/pdf/CFR-2011-title29-vol1-sec37-4.pdf" TargetMode="External"/><Relationship Id="rId73" Type="http://schemas.openxmlformats.org/officeDocument/2006/relationships/hyperlink" Target="https://factfinder.census.gov/faces/nav/jsf/pages/community_facts.xhtml" TargetMode="External"/><Relationship Id="rId78" Type="http://schemas.openxmlformats.org/officeDocument/2006/relationships/hyperlink" Target="https://www.gpo.gov/fdsys/pkg/PLAW-113publ128/pdf/PLAW-113publ128.pdf" TargetMode="External"/><Relationship Id="rId81" Type="http://schemas.openxmlformats.org/officeDocument/2006/relationships/hyperlink" Target="https://wdr.doleta.gov/directives/corr_doc.cfm?docn=7159" TargetMode="External"/><Relationship Id="rId86" Type="http://schemas.openxmlformats.org/officeDocument/2006/relationships/hyperlink" Target="https://wdr.doleta.gov/directives/attach/TEGL/TEGL_10-16-Change1_Acc.pdf"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sability.wfgpspractice.org/resources/2019/03/21/19/20/Disability-Employment-Initiativ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renticeship.workforcegps.org/events/2016/12/14/12/38/WIOA-Wednesday-WIOA-Performance-Accountability-Hot-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NYS Office of Information Technology Services</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Aubertine, Carrie M (LABOR)</dc:creator>
  <cp:keywords/>
  <dc:description/>
  <cp:lastModifiedBy>Aubertine, Carrie M (LABOR)</cp:lastModifiedBy>
  <cp:revision>5</cp:revision>
  <dcterms:created xsi:type="dcterms:W3CDTF">2019-08-02T20:16:00Z</dcterms:created>
  <dcterms:modified xsi:type="dcterms:W3CDTF">2019-09-11T20:26:00Z</dcterms:modified>
</cp:coreProperties>
</file>