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0D02" w:rsidP="17BBED7E" w:rsidRDefault="00700D02" w14:paraId="0081D3D7" w14:textId="0E23BD82" w14:noSpellErr="1">
      <w:pPr>
        <w:pStyle w:val="Heading1"/>
        <w:spacing w:before="0" w:beforeAutospacing="off" w:after="288" w:afterAutospacing="off"/>
        <w:rPr>
          <w:rFonts w:eastAsia="Times New Roman"/>
          <w:sz w:val="30"/>
          <w:szCs w:val="30"/>
          <w14:ligatures w14:val="none"/>
        </w:rPr>
      </w:pPr>
      <w:r w:rsidRPr="17BBED7E" w:rsidR="00700D02">
        <w:rPr>
          <w:rFonts w:eastAsia="Times New Roman"/>
          <w:sz w:val="30"/>
          <w:szCs w:val="30"/>
        </w:rPr>
        <w:t>Career Exploration Project Rubric</w:t>
      </w:r>
      <w:commentRangeStart w:id="1381402210"/>
      <w:commentRangeEnd w:id="1381402210"/>
      <w:r>
        <w:rPr>
          <w:rStyle w:val="CommentReference"/>
        </w:rPr>
        <w:commentReference w:id="1381402210"/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2643"/>
        <w:gridCol w:w="2213"/>
        <w:gridCol w:w="2317"/>
        <w:gridCol w:w="2111"/>
      </w:tblGrid>
      <w:tr w:rsidR="00700D02" w:rsidTr="00666C25" w14:paraId="5C6E8F0D" w14:textId="77777777">
        <w:trPr>
          <w:tblHeader/>
        </w:trPr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E5DE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0FA8A0F9" w14:textId="77777777">
            <w:pPr>
              <w:spacing w:after="375"/>
              <w:jc w:val="center"/>
              <w:rPr>
                <w:rFonts w:eastAsia="Times New Roman"/>
                <w:b/>
                <w:bCs/>
                <w:color w:val="223344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223344"/>
              </w:rPr>
              <w:t>Criteria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E5DE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533416F8" w14:textId="77777777">
            <w:pPr>
              <w:spacing w:after="375"/>
              <w:jc w:val="center"/>
              <w:rPr>
                <w:rFonts w:eastAsia="Times New Roman"/>
                <w:b/>
                <w:bCs/>
                <w:color w:val="223344"/>
              </w:rPr>
            </w:pPr>
            <w:r>
              <w:rPr>
                <w:rFonts w:eastAsia="Times New Roman"/>
                <w:b/>
                <w:bCs/>
                <w:color w:val="223344"/>
              </w:rPr>
              <w:t>Exceeds Expectations (4)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E5DE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10621B60" w14:textId="77777777">
            <w:pPr>
              <w:spacing w:after="375"/>
              <w:jc w:val="center"/>
              <w:rPr>
                <w:rFonts w:eastAsia="Times New Roman"/>
                <w:b/>
                <w:bCs/>
                <w:color w:val="223344"/>
              </w:rPr>
            </w:pPr>
            <w:r>
              <w:rPr>
                <w:rFonts w:eastAsia="Times New Roman"/>
                <w:b/>
                <w:bCs/>
                <w:color w:val="223344"/>
              </w:rPr>
              <w:t>Meets Expectations (3)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E5DE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1EC0E3A1" w14:textId="77777777">
            <w:pPr>
              <w:spacing w:after="375"/>
              <w:jc w:val="center"/>
              <w:rPr>
                <w:rFonts w:eastAsia="Times New Roman"/>
                <w:b/>
                <w:bCs/>
                <w:color w:val="223344"/>
              </w:rPr>
            </w:pPr>
            <w:r>
              <w:rPr>
                <w:rFonts w:eastAsia="Times New Roman"/>
                <w:b/>
                <w:bCs/>
                <w:color w:val="223344"/>
              </w:rPr>
              <w:t>Approaching Expectations (2)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E5DE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68E96257" w14:textId="77777777">
            <w:pPr>
              <w:spacing w:after="375"/>
              <w:jc w:val="center"/>
              <w:rPr>
                <w:rFonts w:eastAsia="Times New Roman"/>
                <w:b/>
                <w:bCs/>
                <w:color w:val="223344"/>
              </w:rPr>
            </w:pPr>
            <w:r>
              <w:rPr>
                <w:rFonts w:eastAsia="Times New Roman"/>
                <w:b/>
                <w:bCs/>
                <w:color w:val="223344"/>
              </w:rPr>
              <w:t>Below Expectations (1)</w:t>
            </w:r>
          </w:p>
        </w:tc>
      </w:tr>
      <w:tr w:rsidR="00700D02" w:rsidTr="00666C25" w14:paraId="78D04CAC" w14:textId="77777777"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1872D1B2" w14:textId="5BA011B8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Style w:val="Strong"/>
                <w:rFonts w:eastAsia="Times New Roman"/>
                <w:color w:val="333333"/>
                <w:bdr w:val="none" w:color="auto" w:sz="0" w:space="0" w:frame="1"/>
              </w:rPr>
              <w:t>Personality Test &amp; Career Match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07E369B1" w14:textId="4A1D7DD4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Thoroughly explains how the chosen career aligns with the results of the personality test, providing clear and detailed connections.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3A5A5E7A" w14:textId="61E82302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Explains how the chosen career aligns with the results of the personality test, with some clear connections.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37E74A7C" w14:textId="02F2F004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Attempts to explain the connection between the career and personality test results, but the connections are vague or unclear.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3F213A8F" w14:textId="26E217BB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 xml:space="preserve">Does not explain the connection between the </w:t>
            </w:r>
            <w:r>
              <w:rPr>
                <w:rFonts w:eastAsia="Times New Roman"/>
                <w:color w:val="333333"/>
              </w:rPr>
              <w:t>c</w:t>
            </w:r>
            <w:r>
              <w:rPr>
                <w:rFonts w:eastAsia="Times New Roman"/>
                <w:color w:val="333333"/>
              </w:rPr>
              <w:t>areer and personality test results, or the explanation is missing.</w:t>
            </w:r>
          </w:p>
        </w:tc>
      </w:tr>
      <w:tr w:rsidR="00700D02" w:rsidTr="00666C25" w14:paraId="42836950" w14:textId="77777777"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6A1A62AF" w14:textId="77777777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Style w:val="Strong"/>
                <w:rFonts w:eastAsia="Times New Roman"/>
                <w:color w:val="333333"/>
                <w:bdr w:val="none" w:color="auto" w:sz="0" w:space="0" w:frame="1"/>
              </w:rPr>
              <w:t>Research &amp; Content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1148CBB0" w14:textId="3739FC14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Presents comprehensive, well-researched information about the career, including job duties, required knowledge, skills, abilities, personality traits, tech skills, educational requirements, job outlook, and salary range.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30BAD8EF" w14:textId="44ECA2CC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Presents relevant information about the career, including most of the key details (job duties, education, outlook, salary).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0B2112EF" w14:textId="18B99C2D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Presents some information about the career, but key details are missing or incomplete.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0EE00097" w14:textId="56BC2402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Presents little to no relevant information about the career.</w:t>
            </w:r>
          </w:p>
        </w:tc>
      </w:tr>
      <w:tr w:rsidR="00700D02" w:rsidTr="00666C25" w14:paraId="0A067FCC" w14:textId="77777777"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466BEE57" w14:textId="77777777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Style w:val="Strong"/>
                <w:rFonts w:eastAsia="Times New Roman"/>
                <w:color w:val="333333"/>
                <w:bdr w:val="none" w:color="auto" w:sz="0" w:space="0" w:frame="1"/>
              </w:rPr>
              <w:t>Organization &amp; Delivery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35A35600" w14:textId="77777777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Presentation is highly organized and concise and summarizes all important information regarding the career. Speaks clearly and confidently, maintaining good eye contact and using appropriate volume and pace.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56270209" w14:textId="77777777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Presentation is organized and summarizes most of the important information regarding the career. Speaks clearly, with some eye contact and appropriate volume and pace.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3185EA6A" w14:textId="77777777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Presentation is somewhat organized and summarizes some of the important information regarding the career, but the structure is unclear. Speaks audibly, but with limited eye contact and pace.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797EA17F" w14:textId="77777777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Presentation lacks organization and has little to no important information regarding the career. Speaks quietly or unclearly, with little to no eye contact.</w:t>
            </w:r>
          </w:p>
        </w:tc>
      </w:tr>
      <w:tr w:rsidR="00700D02" w:rsidTr="00666C25" w14:paraId="41667538" w14:textId="77777777"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366175EC" w14:textId="77777777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Style w:val="Strong"/>
                <w:rFonts w:eastAsia="Times New Roman"/>
                <w:color w:val="333333"/>
                <w:bdr w:val="none" w:color="auto" w:sz="0" w:space="0" w:frame="1"/>
              </w:rPr>
              <w:t>Visual Aids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53F5BD25" w14:textId="77777777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Visual aids (e.g., slides, handouts) are professional, visually appealing, and effectively support the presentation.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15660930" w14:textId="77777777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Visual aids are relevant and support the presentation.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067B3AA0" w14:textId="77777777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Visual aids are present but do not clearly support the presentation.</w:t>
            </w:r>
          </w:p>
        </w:tc>
        <w:tc>
          <w:tcPr>
            <w:tcW w:w="0" w:type="auto"/>
            <w:tcBorders>
              <w:top w:val="single" w:color="223344" w:sz="6" w:space="0"/>
              <w:left w:val="single" w:color="223344" w:sz="6" w:space="0"/>
              <w:bottom w:val="single" w:color="223344" w:sz="6" w:space="0"/>
              <w:right w:val="single" w:color="223344" w:sz="6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700D02" w:rsidP="00666C25" w:rsidRDefault="00700D02" w14:paraId="4084CAD7" w14:textId="77777777">
            <w:pPr>
              <w:spacing w:after="375"/>
              <w:rPr>
                <w:rFonts w:eastAsia="Times New Roman"/>
                <w:color w:val="333333"/>
              </w:rPr>
            </w:pPr>
            <w:r>
              <w:rPr>
                <w:rFonts w:eastAsia="Times New Roman"/>
                <w:color w:val="333333"/>
              </w:rPr>
              <w:t>Visual aids are missing or irrelevant to the presentation.</w:t>
            </w:r>
          </w:p>
        </w:tc>
      </w:tr>
    </w:tbl>
    <w:p w:rsidR="00700D02" w:rsidP="00700D02" w:rsidRDefault="00700D02" w14:paraId="12ABBA64" w14:textId="77777777">
      <w:pPr>
        <w:rPr>
          <w:rFonts w:eastAsia="Times New Roman"/>
        </w:rPr>
      </w:pPr>
    </w:p>
    <w:p w:rsidR="007A2C64" w:rsidRDefault="007A2C64" w14:paraId="2940F16F" w14:textId="77777777"/>
    <w:sectPr w:rsidR="007A2C64" w:rsidSect="001217B5">
      <w:pgSz w:w="12240" w:h="15840" w:orient="portrait"/>
      <w:pgMar w:top="720" w:right="720" w:bottom="720" w:left="720" w:header="720" w:footer="720" w:gutter="0"/>
      <w:cols w:space="720"/>
      <w:docGrid w:linePitch="299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A(" w:author="Amante, Michael (LABOR)" w:date="2024-07-28T22:00:38" w:id="1381402210">
    <w:p w:rsidR="17BBED7E" w:rsidRDefault="17BBED7E" w14:paraId="1ECBCDA1" w14:textId="4EC6209A">
      <w:pPr>
        <w:pStyle w:val="CommentText"/>
      </w:pPr>
      <w:r w:rsidR="17BBED7E">
        <w:rPr/>
        <w:t>Awesome! Always nice to include a ready to use so it is clear for students and teachers alike.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1ECBCDA1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CE5C908" w16cex:dateUtc="2024-07-29T02:00:38.84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CBCDA1" w16cid:durableId="1CE5C90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>
  <w15:person w15:author="Amante, Michael (LABOR)">
    <w15:presenceInfo w15:providerId="AD" w15:userId="S::michael.amante@labor.ny.gov::b7987144-8104-4b07-9d73-fd86e568d8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D02"/>
    <w:rsid w:val="00700D02"/>
    <w:rsid w:val="007A2C64"/>
    <w:rsid w:val="17BBE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7EAB8"/>
  <w15:chartTrackingRefBased/>
  <w15:docId w15:val="{D5BAAB5D-697B-4F91-8BEA-AA37A2F1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00D02"/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700D0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00D02"/>
    <w:rPr>
      <w:rFonts w:ascii="Times New Roman" w:hAnsi="Times New Roman" w:cs="Times New Roman" w:eastAsiaTheme="minorEastAsia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700D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comments" Target="comments.xml" Id="R0ed7c0ca4e254023" /><Relationship Type="http://schemas.microsoft.com/office/2011/relationships/people" Target="people.xml" Id="R0532222cb89e4576" /><Relationship Type="http://schemas.microsoft.com/office/2011/relationships/commentsExtended" Target="commentsExtended.xml" Id="R5ff1cc4b500a4af6" /><Relationship Type="http://schemas.microsoft.com/office/2016/09/relationships/commentsIds" Target="commentsIds.xml" Id="R307431f55c6c4fe0" /><Relationship Type="http://schemas.microsoft.com/office/2018/08/relationships/commentsExtensible" Target="commentsExtensible.xml" Id="R9bb2e622637e4fc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Props1.xml><?xml version="1.0" encoding="utf-8"?>
<ds:datastoreItem xmlns:ds="http://schemas.openxmlformats.org/officeDocument/2006/customXml" ds:itemID="{6C45CF4D-4947-46E4-8215-FFF44723C880}"/>
</file>

<file path=customXml/itemProps2.xml><?xml version="1.0" encoding="utf-8"?>
<ds:datastoreItem xmlns:ds="http://schemas.openxmlformats.org/officeDocument/2006/customXml" ds:itemID="{5C5F2565-10DB-4A5B-BBD1-002382BDB497}"/>
</file>

<file path=customXml/itemProps3.xml><?xml version="1.0" encoding="utf-8"?>
<ds:datastoreItem xmlns:ds="http://schemas.openxmlformats.org/officeDocument/2006/customXml" ds:itemID="{CDDF5CA1-7768-4BD0-82E0-74A20B9D1C7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Creamer, Patrick (LABOR)</dc:creator>
  <cp:keywords/>
  <dc:description/>
  <cp:lastModifiedBy>Amante, Michael (LABOR)</cp:lastModifiedBy>
  <cp:revision>2</cp:revision>
  <dcterms:created xsi:type="dcterms:W3CDTF">2024-07-26T15:42:00Z</dcterms:created>
  <dcterms:modified xsi:type="dcterms:W3CDTF">2024-07-29T02:01:19Z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